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00" w:rsidRDefault="00517C00" w:rsidP="00517C00">
      <w:pPr>
        <w:spacing w:after="120" w:line="240" w:lineRule="auto"/>
        <w:jc w:val="center"/>
        <w:outlineLvl w:val="0"/>
        <w:rPr>
          <w:rFonts w:ascii="Times New Roman" w:hAnsi="Times New Roman"/>
          <w:b/>
        </w:rPr>
      </w:pPr>
      <w:r>
        <w:rPr>
          <w:noProof/>
          <w:lang w:eastAsia="en-AU"/>
        </w:rPr>
        <w:drawing>
          <wp:inline distT="0" distB="0" distL="0" distR="0" wp14:anchorId="7D10B9DD" wp14:editId="05B757EA">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7C00" w:rsidRDefault="00517C00" w:rsidP="00517C00">
      <w:pPr>
        <w:spacing w:before="240" w:after="120" w:line="240" w:lineRule="auto"/>
        <w:jc w:val="center"/>
        <w:outlineLvl w:val="0"/>
        <w:rPr>
          <w:rFonts w:ascii="Times New Roman" w:hAnsi="Times New Roman"/>
          <w:b/>
        </w:rPr>
      </w:pPr>
      <w:r>
        <w:rPr>
          <w:rFonts w:ascii="Times New Roman" w:hAnsi="Times New Roman"/>
          <w:b/>
        </w:rPr>
        <w:t>NOTICE OF INVESTIGATION</w:t>
      </w:r>
      <w:r w:rsidR="00E85D46">
        <w:rPr>
          <w:rFonts w:ascii="Times New Roman" w:hAnsi="Times New Roman"/>
          <w:b/>
        </w:rPr>
        <w:t xml:space="preserve"> – MULTIPLE CONDITIONS – INS</w:t>
      </w:r>
      <w:r w:rsidR="00A92350">
        <w:rPr>
          <w:rFonts w:ascii="Times New Roman" w:hAnsi="Times New Roman"/>
          <w:b/>
        </w:rPr>
        <w:t>TRUMENTS SUNSETTING ON 1 October</w:t>
      </w:r>
      <w:r w:rsidR="00F235CA">
        <w:rPr>
          <w:rFonts w:ascii="Times New Roman" w:hAnsi="Times New Roman"/>
          <w:b/>
        </w:rPr>
        <w:t xml:space="preserve"> 2025</w:t>
      </w:r>
    </w:p>
    <w:p w:rsidR="00517C00" w:rsidRDefault="00517C00" w:rsidP="00517C00">
      <w:pPr>
        <w:spacing w:after="120" w:line="240" w:lineRule="auto"/>
        <w:jc w:val="center"/>
        <w:outlineLvl w:val="0"/>
        <w:rPr>
          <w:rFonts w:ascii="Times New Roman" w:hAnsi="Times New Roman"/>
          <w:b/>
        </w:rPr>
      </w:pPr>
      <w:r>
        <w:rPr>
          <w:rFonts w:ascii="Times New Roman" w:hAnsi="Times New Roman"/>
          <w:b/>
        </w:rPr>
        <w:t>Section 196G of the</w:t>
      </w:r>
    </w:p>
    <w:p w:rsidR="00517C00" w:rsidRDefault="00517C00" w:rsidP="00517C00">
      <w:pPr>
        <w:spacing w:after="120" w:line="240" w:lineRule="auto"/>
        <w:jc w:val="center"/>
        <w:outlineLvl w:val="0"/>
        <w:rPr>
          <w:rFonts w:ascii="Times New Roman" w:hAnsi="Times New Roman"/>
          <w:b/>
        </w:rPr>
      </w:pPr>
      <w:r>
        <w:rPr>
          <w:rFonts w:ascii="Times New Roman" w:hAnsi="Times New Roman"/>
          <w:i/>
        </w:rPr>
        <w:t>Veterans' Entitlements Act 1986</w:t>
      </w:r>
    </w:p>
    <w:p w:rsidR="00DA068B" w:rsidRDefault="00517C00" w:rsidP="00517C00">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621"/>
        <w:gridCol w:w="4621"/>
      </w:tblGrid>
      <w:tr w:rsidR="00DA068B" w:rsidRPr="005218A9" w:rsidTr="009B6567">
        <w:trPr>
          <w:jc w:val="center"/>
        </w:trPr>
        <w:tc>
          <w:tcPr>
            <w:tcW w:w="4621" w:type="dxa"/>
          </w:tcPr>
          <w:p w:rsidR="00DA068B" w:rsidRPr="005218A9" w:rsidRDefault="00DA068B" w:rsidP="009B6567">
            <w:pPr>
              <w:spacing w:after="120"/>
              <w:rPr>
                <w:b/>
                <w:sz w:val="22"/>
                <w:szCs w:val="22"/>
              </w:rPr>
            </w:pPr>
            <w:bookmarkStart w:id="0" w:name="OLE_LINK3"/>
            <w:bookmarkStart w:id="1" w:name="OLE_LINK4"/>
            <w:r w:rsidRPr="005218A9">
              <w:rPr>
                <w:b/>
                <w:sz w:val="22"/>
                <w:szCs w:val="22"/>
              </w:rPr>
              <w:t>Condition:</w:t>
            </w:r>
          </w:p>
        </w:tc>
        <w:tc>
          <w:tcPr>
            <w:tcW w:w="4621" w:type="dxa"/>
          </w:tcPr>
          <w:p w:rsidR="00DA068B" w:rsidRPr="005218A9" w:rsidRDefault="00DA068B" w:rsidP="009B6567">
            <w:pPr>
              <w:spacing w:after="120"/>
              <w:rPr>
                <w:b/>
                <w:sz w:val="22"/>
                <w:szCs w:val="22"/>
              </w:rPr>
            </w:pPr>
            <w:r w:rsidRPr="005218A9">
              <w:rPr>
                <w:b/>
                <w:sz w:val="22"/>
                <w:szCs w:val="22"/>
              </w:rPr>
              <w:t>Instrument Nos.:</w:t>
            </w:r>
          </w:p>
        </w:tc>
      </w:tr>
      <w:tr w:rsidR="00DA068B" w:rsidRPr="005218A9" w:rsidTr="009B6567">
        <w:trPr>
          <w:jc w:val="center"/>
        </w:trPr>
        <w:tc>
          <w:tcPr>
            <w:tcW w:w="4621" w:type="dxa"/>
            <w:vAlign w:val="center"/>
          </w:tcPr>
          <w:p w:rsidR="00DA068B" w:rsidRPr="00B1186C" w:rsidRDefault="00726EA0" w:rsidP="00CE6488">
            <w:pPr>
              <w:spacing w:after="120"/>
              <w:ind w:right="-170"/>
              <w:rPr>
                <w:sz w:val="22"/>
                <w:szCs w:val="22"/>
              </w:rPr>
            </w:pPr>
            <w:r>
              <w:rPr>
                <w:sz w:val="22"/>
                <w:szCs w:val="22"/>
              </w:rPr>
              <w:t>C</w:t>
            </w:r>
            <w:r w:rsidR="0058056B">
              <w:rPr>
                <w:sz w:val="22"/>
                <w:szCs w:val="22"/>
              </w:rPr>
              <w:t>hickenpox</w:t>
            </w:r>
          </w:p>
        </w:tc>
        <w:tc>
          <w:tcPr>
            <w:tcW w:w="4621" w:type="dxa"/>
            <w:vAlign w:val="center"/>
          </w:tcPr>
          <w:p w:rsidR="00DA068B" w:rsidRPr="00B1186C" w:rsidRDefault="00726EA0" w:rsidP="000461D5">
            <w:pPr>
              <w:spacing w:after="120"/>
              <w:rPr>
                <w:sz w:val="22"/>
                <w:szCs w:val="22"/>
              </w:rPr>
            </w:pPr>
            <w:r>
              <w:rPr>
                <w:sz w:val="22"/>
                <w:szCs w:val="22"/>
              </w:rPr>
              <w:t>87 &amp; 88 of 2015</w:t>
            </w:r>
          </w:p>
        </w:tc>
      </w:tr>
      <w:tr w:rsidR="00DA068B" w:rsidRPr="005218A9" w:rsidTr="009B6567">
        <w:trPr>
          <w:jc w:val="center"/>
        </w:trPr>
        <w:tc>
          <w:tcPr>
            <w:tcW w:w="4621" w:type="dxa"/>
            <w:vAlign w:val="center"/>
          </w:tcPr>
          <w:p w:rsidR="00DA068B" w:rsidRPr="00B1186C" w:rsidRDefault="00726EA0" w:rsidP="00CE6488">
            <w:pPr>
              <w:spacing w:after="120"/>
              <w:rPr>
                <w:sz w:val="22"/>
                <w:szCs w:val="22"/>
              </w:rPr>
            </w:pPr>
            <w:r>
              <w:rPr>
                <w:sz w:val="22"/>
                <w:szCs w:val="22"/>
              </w:rPr>
              <w:t>F</w:t>
            </w:r>
            <w:r w:rsidR="0058056B">
              <w:rPr>
                <w:sz w:val="22"/>
                <w:szCs w:val="22"/>
              </w:rPr>
              <w:t>racture</w:t>
            </w:r>
          </w:p>
        </w:tc>
        <w:tc>
          <w:tcPr>
            <w:tcW w:w="4621" w:type="dxa"/>
            <w:vAlign w:val="center"/>
          </w:tcPr>
          <w:p w:rsidR="00DA068B" w:rsidRPr="00B1186C" w:rsidRDefault="00726EA0" w:rsidP="000461D5">
            <w:pPr>
              <w:spacing w:after="120"/>
              <w:rPr>
                <w:sz w:val="22"/>
                <w:szCs w:val="22"/>
              </w:rPr>
            </w:pPr>
            <w:r>
              <w:rPr>
                <w:sz w:val="22"/>
                <w:szCs w:val="22"/>
              </w:rPr>
              <w:t>94 &amp; 95 of 2015</w:t>
            </w:r>
          </w:p>
        </w:tc>
      </w:tr>
      <w:tr w:rsidR="00DA068B" w:rsidRPr="005218A9" w:rsidTr="009B6567">
        <w:trPr>
          <w:jc w:val="center"/>
        </w:trPr>
        <w:tc>
          <w:tcPr>
            <w:tcW w:w="4621" w:type="dxa"/>
            <w:vAlign w:val="center"/>
          </w:tcPr>
          <w:p w:rsidR="00DA068B" w:rsidRPr="00B1186C" w:rsidRDefault="00726EA0" w:rsidP="00CE6488">
            <w:pPr>
              <w:spacing w:after="120"/>
              <w:rPr>
                <w:sz w:val="22"/>
                <w:szCs w:val="22"/>
              </w:rPr>
            </w:pPr>
            <w:r>
              <w:rPr>
                <w:sz w:val="22"/>
                <w:szCs w:val="22"/>
              </w:rPr>
              <w:t>H</w:t>
            </w:r>
            <w:r w:rsidR="0058056B">
              <w:rPr>
                <w:sz w:val="22"/>
                <w:szCs w:val="22"/>
              </w:rPr>
              <w:t>ereditary spherocytosis</w:t>
            </w:r>
          </w:p>
        </w:tc>
        <w:tc>
          <w:tcPr>
            <w:tcW w:w="4621" w:type="dxa"/>
            <w:vAlign w:val="center"/>
          </w:tcPr>
          <w:p w:rsidR="00DA068B" w:rsidRPr="00B1186C" w:rsidRDefault="00D03658" w:rsidP="000461D5">
            <w:pPr>
              <w:spacing w:after="120"/>
              <w:rPr>
                <w:sz w:val="22"/>
                <w:szCs w:val="22"/>
              </w:rPr>
            </w:pPr>
            <w:r>
              <w:rPr>
                <w:sz w:val="22"/>
                <w:szCs w:val="22"/>
              </w:rPr>
              <w:t>67</w:t>
            </w:r>
            <w:r w:rsidR="00726EA0">
              <w:rPr>
                <w:sz w:val="22"/>
                <w:szCs w:val="22"/>
              </w:rPr>
              <w:t xml:space="preserve"> &amp; 68 of 2015</w:t>
            </w:r>
          </w:p>
        </w:tc>
      </w:tr>
      <w:tr w:rsidR="000461D5" w:rsidRPr="005218A9" w:rsidTr="009B6567">
        <w:trPr>
          <w:jc w:val="center"/>
        </w:trPr>
        <w:tc>
          <w:tcPr>
            <w:tcW w:w="4621" w:type="dxa"/>
            <w:vAlign w:val="center"/>
          </w:tcPr>
          <w:p w:rsidR="000461D5" w:rsidRPr="00B1186C" w:rsidRDefault="00726EA0" w:rsidP="00CE6488">
            <w:pPr>
              <w:spacing w:after="120"/>
              <w:rPr>
                <w:sz w:val="22"/>
                <w:szCs w:val="22"/>
              </w:rPr>
            </w:pPr>
            <w:r>
              <w:rPr>
                <w:sz w:val="22"/>
                <w:szCs w:val="22"/>
              </w:rPr>
              <w:t>M</w:t>
            </w:r>
            <w:r w:rsidR="0058056B">
              <w:rPr>
                <w:sz w:val="22"/>
                <w:szCs w:val="22"/>
              </w:rPr>
              <w:t>esothelioma</w:t>
            </w:r>
          </w:p>
        </w:tc>
        <w:tc>
          <w:tcPr>
            <w:tcW w:w="4621" w:type="dxa"/>
            <w:vAlign w:val="center"/>
          </w:tcPr>
          <w:p w:rsidR="000461D5" w:rsidRPr="00B1186C" w:rsidRDefault="00D03658" w:rsidP="000461D5">
            <w:pPr>
              <w:spacing w:after="120"/>
              <w:rPr>
                <w:sz w:val="22"/>
                <w:szCs w:val="22"/>
              </w:rPr>
            </w:pPr>
            <w:r>
              <w:rPr>
                <w:sz w:val="22"/>
                <w:szCs w:val="22"/>
              </w:rPr>
              <w:t>104 &amp; 105 of 2015 as amended</w:t>
            </w:r>
          </w:p>
        </w:tc>
      </w:tr>
      <w:tr w:rsidR="000461D5" w:rsidRPr="005218A9" w:rsidTr="009B6567">
        <w:trPr>
          <w:jc w:val="center"/>
        </w:trPr>
        <w:tc>
          <w:tcPr>
            <w:tcW w:w="4621" w:type="dxa"/>
            <w:vAlign w:val="center"/>
          </w:tcPr>
          <w:p w:rsidR="000461D5" w:rsidRPr="00B1186C" w:rsidRDefault="0058056B" w:rsidP="00CE6488">
            <w:pPr>
              <w:spacing w:after="120"/>
              <w:rPr>
                <w:sz w:val="22"/>
                <w:szCs w:val="22"/>
              </w:rPr>
            </w:pPr>
            <w:r>
              <w:rPr>
                <w:sz w:val="22"/>
                <w:szCs w:val="22"/>
              </w:rPr>
              <w:t>Myasthenia gravis</w:t>
            </w:r>
          </w:p>
        </w:tc>
        <w:tc>
          <w:tcPr>
            <w:tcW w:w="4621" w:type="dxa"/>
            <w:vAlign w:val="center"/>
          </w:tcPr>
          <w:p w:rsidR="000461D5" w:rsidRPr="00B1186C" w:rsidRDefault="00D03658" w:rsidP="000461D5">
            <w:pPr>
              <w:spacing w:after="120"/>
              <w:rPr>
                <w:sz w:val="22"/>
                <w:szCs w:val="22"/>
              </w:rPr>
            </w:pPr>
            <w:r>
              <w:rPr>
                <w:sz w:val="22"/>
                <w:szCs w:val="22"/>
              </w:rPr>
              <w:t>75 &amp; 76 of 2015</w:t>
            </w:r>
          </w:p>
        </w:tc>
      </w:tr>
      <w:tr w:rsidR="000461D5" w:rsidRPr="005218A9" w:rsidTr="009B6567">
        <w:trPr>
          <w:jc w:val="center"/>
        </w:trPr>
        <w:tc>
          <w:tcPr>
            <w:tcW w:w="4621" w:type="dxa"/>
            <w:vAlign w:val="center"/>
          </w:tcPr>
          <w:p w:rsidR="000461D5" w:rsidRPr="00B1186C" w:rsidRDefault="0058056B" w:rsidP="00CE6488">
            <w:pPr>
              <w:spacing w:after="120"/>
              <w:ind w:right="-170"/>
              <w:contextualSpacing/>
              <w:rPr>
                <w:sz w:val="22"/>
                <w:szCs w:val="22"/>
              </w:rPr>
            </w:pPr>
            <w:r w:rsidRPr="0058056B">
              <w:rPr>
                <w:sz w:val="22"/>
                <w:szCs w:val="22"/>
              </w:rPr>
              <w:t>Myelodysplastic syndrome</w:t>
            </w:r>
          </w:p>
        </w:tc>
        <w:tc>
          <w:tcPr>
            <w:tcW w:w="4621" w:type="dxa"/>
            <w:vAlign w:val="center"/>
          </w:tcPr>
          <w:p w:rsidR="000461D5" w:rsidRPr="00B1186C" w:rsidRDefault="00D03658" w:rsidP="000461D5">
            <w:pPr>
              <w:spacing w:after="120"/>
              <w:rPr>
                <w:sz w:val="22"/>
                <w:szCs w:val="22"/>
              </w:rPr>
            </w:pPr>
            <w:r>
              <w:rPr>
                <w:sz w:val="22"/>
                <w:szCs w:val="22"/>
              </w:rPr>
              <w:t>73 &amp; 74 of 2015 as amended.</w:t>
            </w:r>
          </w:p>
        </w:tc>
      </w:tr>
      <w:tr w:rsidR="000461D5" w:rsidRPr="005218A9" w:rsidTr="009B6567">
        <w:trPr>
          <w:jc w:val="center"/>
        </w:trPr>
        <w:tc>
          <w:tcPr>
            <w:tcW w:w="4621" w:type="dxa"/>
            <w:vAlign w:val="center"/>
          </w:tcPr>
          <w:p w:rsidR="000461D5" w:rsidRPr="00B1186C" w:rsidRDefault="0058056B" w:rsidP="00CE6488">
            <w:pPr>
              <w:spacing w:after="120"/>
              <w:rPr>
                <w:sz w:val="22"/>
                <w:szCs w:val="22"/>
              </w:rPr>
            </w:pPr>
            <w:r w:rsidRPr="0058056B">
              <w:rPr>
                <w:sz w:val="22"/>
                <w:szCs w:val="22"/>
              </w:rPr>
              <w:t>Trigeminal neuralgia</w:t>
            </w:r>
          </w:p>
        </w:tc>
        <w:tc>
          <w:tcPr>
            <w:tcW w:w="4621" w:type="dxa"/>
            <w:vAlign w:val="center"/>
          </w:tcPr>
          <w:p w:rsidR="000461D5" w:rsidRPr="00B1186C" w:rsidRDefault="00D03658" w:rsidP="000461D5">
            <w:pPr>
              <w:spacing w:after="120"/>
              <w:rPr>
                <w:sz w:val="22"/>
                <w:szCs w:val="22"/>
              </w:rPr>
            </w:pPr>
            <w:r>
              <w:rPr>
                <w:sz w:val="22"/>
                <w:szCs w:val="22"/>
              </w:rPr>
              <w:t xml:space="preserve">77 &amp; 78 of 2015 </w:t>
            </w:r>
          </w:p>
        </w:tc>
      </w:tr>
      <w:tr w:rsidR="000461D5" w:rsidRPr="005218A9" w:rsidTr="009B6567">
        <w:trPr>
          <w:jc w:val="center"/>
        </w:trPr>
        <w:tc>
          <w:tcPr>
            <w:tcW w:w="4621" w:type="dxa"/>
            <w:vAlign w:val="center"/>
          </w:tcPr>
          <w:p w:rsidR="000461D5" w:rsidRPr="00B1186C" w:rsidRDefault="00726EA0" w:rsidP="00CE6488">
            <w:pPr>
              <w:spacing w:after="120"/>
              <w:rPr>
                <w:sz w:val="22"/>
                <w:szCs w:val="22"/>
              </w:rPr>
            </w:pPr>
            <w:r w:rsidRPr="00726EA0">
              <w:rPr>
                <w:sz w:val="22"/>
                <w:szCs w:val="22"/>
              </w:rPr>
              <w:t>Trigeminal neuropathy</w:t>
            </w:r>
          </w:p>
        </w:tc>
        <w:tc>
          <w:tcPr>
            <w:tcW w:w="4621" w:type="dxa"/>
            <w:vAlign w:val="center"/>
          </w:tcPr>
          <w:p w:rsidR="000461D5" w:rsidRPr="00B1186C" w:rsidRDefault="00D03658" w:rsidP="000461D5">
            <w:pPr>
              <w:spacing w:after="120"/>
              <w:rPr>
                <w:sz w:val="22"/>
                <w:szCs w:val="22"/>
              </w:rPr>
            </w:pPr>
            <w:r>
              <w:rPr>
                <w:sz w:val="22"/>
                <w:szCs w:val="22"/>
              </w:rPr>
              <w:t>79 &amp; 80 of 2015 as amended</w:t>
            </w:r>
          </w:p>
        </w:tc>
      </w:tr>
    </w:tbl>
    <w:bookmarkEnd w:id="0"/>
    <w:bookmarkEnd w:id="1"/>
    <w:p w:rsidR="00517C00" w:rsidRPr="008F4078" w:rsidRDefault="00517C00" w:rsidP="00517C00">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517C00" w:rsidRDefault="00517C00" w:rsidP="00517C00">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pension under Part II or Part IV of the VEA;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Repatriation Commission or the Military Rehabilitation and Compensation Commission; and</w:t>
      </w:r>
    </w:p>
    <w:p w:rsidR="00517C00" w:rsidRDefault="00517C00" w:rsidP="00517C00">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having expertise in a field relevant to the investigation.</w:t>
      </w:r>
    </w:p>
    <w:p w:rsidR="00517C00" w:rsidRPr="00B959F6" w:rsidRDefault="00517C00" w:rsidP="00517C00">
      <w:pPr>
        <w:keepNext/>
        <w:spacing w:after="120" w:line="240" w:lineRule="auto"/>
        <w:jc w:val="both"/>
        <w:rPr>
          <w:rFonts w:ascii="Times New Roman" w:hAnsi="Times New Roman"/>
        </w:rPr>
      </w:pPr>
      <w:r w:rsidRPr="00B959F6">
        <w:rPr>
          <w:rFonts w:ascii="Times New Roman" w:hAnsi="Times New Roman"/>
        </w:rPr>
        <w:t xml:space="preserve">The Authority will hold its first meeting for the purposes of each of these investigations on </w:t>
      </w:r>
      <w:r w:rsidR="00A92350">
        <w:rPr>
          <w:rFonts w:ascii="Times New Roman" w:hAnsi="Times New Roman"/>
          <w:b/>
        </w:rPr>
        <w:t>7 February</w:t>
      </w:r>
      <w:r w:rsidRPr="00B959F6">
        <w:rPr>
          <w:rFonts w:ascii="Times New Roman" w:hAnsi="Times New Roman"/>
          <w:b/>
        </w:rPr>
        <w:t> 20</w:t>
      </w:r>
      <w:r w:rsidR="005218A9">
        <w:rPr>
          <w:rFonts w:ascii="Times New Roman" w:hAnsi="Times New Roman"/>
          <w:b/>
        </w:rPr>
        <w:t>2</w:t>
      </w:r>
      <w:r w:rsidR="00A92350">
        <w:rPr>
          <w:rFonts w:ascii="Times New Roman" w:hAnsi="Times New Roman"/>
          <w:b/>
        </w:rPr>
        <w:t>3</w:t>
      </w:r>
      <w:r w:rsidRPr="00B959F6">
        <w:rPr>
          <w:rFonts w:ascii="Times New Roman" w:hAnsi="Times New Roman"/>
        </w:rPr>
        <w:t>.</w:t>
      </w:r>
    </w:p>
    <w:p w:rsidR="00517C00" w:rsidRPr="00B959F6" w:rsidRDefault="00517C00" w:rsidP="00517C00">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rsidR="00517C00" w:rsidRPr="00B959F6" w:rsidRDefault="00517C00" w:rsidP="00517C00">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hyperlink r:id="rId8" w:history="1">
        <w:r w:rsidRPr="00B959F6">
          <w:rPr>
            <w:rStyle w:val="Hyperlink"/>
            <w:rFonts w:ascii="Times New Roman" w:hAnsi="Times New Roman"/>
            <w:color w:val="0070C0"/>
          </w:rPr>
          <w:t>http://www.rma.gov.au/investigations/</w:t>
        </w:r>
      </w:hyperlink>
      <w:r w:rsidRPr="00B959F6">
        <w:rPr>
          <w:rFonts w:ascii="Times New Roman" w:hAnsi="Times New Roman"/>
        </w:rPr>
        <w:t xml:space="preserve"> 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9"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517C00" w:rsidRDefault="00517C00" w:rsidP="00F22B1C">
      <w:pPr>
        <w:keepNext/>
        <w:keepLines/>
        <w:spacing w:after="240" w:line="240" w:lineRule="auto"/>
        <w:jc w:val="both"/>
        <w:rPr>
          <w:rFonts w:ascii="Times New Roman" w:hAnsi="Times New Roman"/>
        </w:rPr>
      </w:pPr>
      <w:r w:rsidRPr="00B959F6">
        <w:rPr>
          <w:rFonts w:ascii="Times New Roman" w:hAnsi="Times New Roman"/>
        </w:rPr>
        <w:lastRenderedPageBreak/>
        <w:t xml:space="preserve">All submissions must be in writing and received by the Authority no later than </w:t>
      </w:r>
      <w:r w:rsidR="00A92350">
        <w:rPr>
          <w:rFonts w:ascii="Times New Roman" w:hAnsi="Times New Roman"/>
          <w:b/>
        </w:rPr>
        <w:t>24 January</w:t>
      </w:r>
      <w:r w:rsidRPr="00B959F6">
        <w:rPr>
          <w:rFonts w:ascii="Times New Roman" w:hAnsi="Times New Roman"/>
          <w:b/>
        </w:rPr>
        <w:t> 20</w:t>
      </w:r>
      <w:r w:rsidR="00A92350">
        <w:rPr>
          <w:rFonts w:ascii="Times New Roman" w:hAnsi="Times New Roman"/>
          <w:b/>
        </w:rPr>
        <w:t>23</w:t>
      </w:r>
      <w:r w:rsidRPr="00B959F6">
        <w:rPr>
          <w:rFonts w:ascii="Times New Roman" w:hAnsi="Times New Roman"/>
        </w:rPr>
        <w:t>.</w:t>
      </w:r>
    </w:p>
    <w:tbl>
      <w:tblPr>
        <w:tblW w:w="0" w:type="auto"/>
        <w:tblLayout w:type="fixed"/>
        <w:tblLook w:val="04A0" w:firstRow="1" w:lastRow="0" w:firstColumn="1" w:lastColumn="0" w:noHBand="0" w:noVBand="1"/>
      </w:tblPr>
      <w:tblGrid>
        <w:gridCol w:w="4106"/>
        <w:gridCol w:w="4910"/>
      </w:tblGrid>
      <w:tr w:rsidR="00517C00" w:rsidTr="00FF02AC">
        <w:tc>
          <w:tcPr>
            <w:tcW w:w="4106" w:type="dxa"/>
            <w:shd w:val="clear" w:color="auto" w:fill="auto"/>
          </w:tcPr>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r w:rsidR="00201AE9">
              <w:rPr>
                <w:noProof/>
              </w:rPr>
              <w:t xml:space="preserve"> </w:t>
            </w:r>
          </w:p>
          <w:p w:rsidR="00517C00" w:rsidRPr="005E4978" w:rsidRDefault="00517C00" w:rsidP="00FF02AC">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517C00" w:rsidRPr="005E4978" w:rsidRDefault="00517C00" w:rsidP="00FF02AC">
            <w:pPr>
              <w:rPr>
                <w:rFonts w:eastAsia="Calibri"/>
              </w:rPr>
            </w:pPr>
            <w:bookmarkStart w:id="2" w:name="_GoBack"/>
            <w:bookmarkEnd w:id="2"/>
          </w:p>
        </w:tc>
      </w:tr>
      <w:tr w:rsidR="00517C00" w:rsidRPr="005D464B" w:rsidTr="00FF02AC">
        <w:tc>
          <w:tcPr>
            <w:tcW w:w="4106" w:type="dxa"/>
            <w:shd w:val="clear" w:color="auto" w:fill="auto"/>
          </w:tcPr>
          <w:p w:rsidR="00517C00" w:rsidRPr="005D464B" w:rsidRDefault="00517C00" w:rsidP="00FF02AC">
            <w:pPr>
              <w:jc w:val="center"/>
              <w:rPr>
                <w:rFonts w:ascii="Times New Roman" w:eastAsia="Calibri" w:hAnsi="Times New Roman"/>
              </w:rPr>
            </w:pPr>
          </w:p>
        </w:tc>
        <w:tc>
          <w:tcPr>
            <w:tcW w:w="4910" w:type="dxa"/>
            <w:shd w:val="clear" w:color="auto" w:fill="auto"/>
          </w:tcPr>
          <w:p w:rsidR="00517C00" w:rsidRPr="00361BE8" w:rsidRDefault="00517C00" w:rsidP="00B03C87">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w:t>
            </w:r>
            <w:r w:rsidR="005218A9">
              <w:rPr>
                <w:rFonts w:ascii="Times New Roman" w:eastAsia="Calibri" w:hAnsi="Times New Roman"/>
              </w:rPr>
              <w:t>TERENCE CAMPBELL AM</w:t>
            </w:r>
            <w:r w:rsidRPr="00361BE8">
              <w:rPr>
                <w:rFonts w:ascii="Times New Roman" w:eastAsia="Calibri" w:hAnsi="Times New Roman"/>
              </w:rPr>
              <w:t xml:space="preserve">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r>
            <w:r w:rsidR="006E44B9">
              <w:rPr>
                <w:rFonts w:ascii="Times New Roman" w:hAnsi="Times New Roman"/>
              </w:rPr>
              <w:t>23</w:t>
            </w:r>
            <w:r w:rsidRPr="00361BE8">
              <w:rPr>
                <w:rFonts w:ascii="Times New Roman" w:hAnsi="Times New Roman"/>
              </w:rPr>
              <w:t xml:space="preserve"> / </w:t>
            </w:r>
            <w:r w:rsidR="00A92350">
              <w:rPr>
                <w:rFonts w:ascii="Times New Roman" w:hAnsi="Times New Roman"/>
              </w:rPr>
              <w:t>12</w:t>
            </w:r>
            <w:r w:rsidRPr="00361BE8">
              <w:rPr>
                <w:rFonts w:ascii="Times New Roman" w:hAnsi="Times New Roman"/>
              </w:rPr>
              <w:t xml:space="preserve"> /</w:t>
            </w:r>
            <w:r w:rsidR="00B303C0">
              <w:rPr>
                <w:rFonts w:ascii="Times New Roman" w:hAnsi="Times New Roman"/>
              </w:rPr>
              <w:t xml:space="preserve"> 2022</w:t>
            </w:r>
          </w:p>
        </w:tc>
      </w:tr>
    </w:tbl>
    <w:p w:rsidR="008B5B44" w:rsidRDefault="008B5B44" w:rsidP="00424B97"/>
    <w:p w:rsidR="008B5B44" w:rsidRPr="008B5B44" w:rsidRDefault="008B5B44" w:rsidP="008B5B44"/>
    <w:p w:rsidR="008B5B44" w:rsidRPr="008B5B44" w:rsidRDefault="008B5B44" w:rsidP="008B5B44"/>
    <w:p w:rsidR="008B5B44" w:rsidRPr="008B5B44" w:rsidRDefault="008B5B44" w:rsidP="008B5B44"/>
    <w:p w:rsidR="008B5B44" w:rsidRPr="008B5B44" w:rsidRDefault="008B5B44" w:rsidP="008B5B44"/>
    <w:p w:rsidR="008B5B44" w:rsidRPr="008B5B44" w:rsidRDefault="008B5B44" w:rsidP="008B5B44"/>
    <w:p w:rsidR="008B5B44" w:rsidRPr="008B5B44" w:rsidRDefault="008B5B44" w:rsidP="008B5B44"/>
    <w:p w:rsidR="008B5B44" w:rsidRDefault="008B5B44" w:rsidP="008B5B44"/>
    <w:p w:rsidR="004B2753" w:rsidRPr="008B5B44" w:rsidRDefault="008B5B44" w:rsidP="008B5B44">
      <w:pPr>
        <w:tabs>
          <w:tab w:val="left" w:pos="2760"/>
        </w:tabs>
      </w:pPr>
      <w:r>
        <w:tab/>
      </w:r>
    </w:p>
    <w:sectPr w:rsidR="004B2753" w:rsidRPr="008B5B44" w:rsidSect="00E87A4D">
      <w:footerReference w:type="default" r:id="rId10"/>
      <w:headerReference w:type="first" r:id="rId11"/>
      <w:footerReference w:type="first" r:id="rId12"/>
      <w:type w:val="continuous"/>
      <w:pgSz w:w="11906" w:h="16838" w:code="9"/>
      <w:pgMar w:top="1134" w:right="1134" w:bottom="1134" w:left="1134" w:header="567" w:footer="737"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96619BB8-C05F-4BF1-B5A7-DEB8E5FD2B37}"/>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E87A4D">
    <w:pPr>
      <w:pStyle w:val="Footer"/>
      <w:jc w:val="center"/>
    </w:pPr>
    <w:r>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E87A4D">
    <w:pPr>
      <w:pStyle w:val="Footer"/>
      <w:jc w:val="center"/>
    </w:pPr>
    <w:r>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0C6512" w:rsidRPr="00CE796A" w:rsidTr="00316847">
      <w:trPr>
        <w:trHeight w:val="984"/>
      </w:trPr>
      <w:tc>
        <w:tcPr>
          <w:tcW w:w="1263"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ind w:left="-51"/>
            <w:rPr>
              <w:rFonts w:ascii="Arial" w:hAnsi="Arial"/>
              <w:sz w:val="12"/>
            </w:rPr>
          </w:pPr>
          <w:r>
            <w:rPr>
              <w:rFonts w:ascii="Arial" w:hAnsi="Arial"/>
              <w:noProof/>
              <w:sz w:val="12"/>
              <w:lang w:eastAsia="en-AU"/>
            </w:rPr>
            <w:drawing>
              <wp:inline distT="0" distB="0" distL="0" distR="0" wp14:anchorId="78DC776C" wp14:editId="3CDE6B0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Start w:id="4" w:name="OLE_LINK2"/>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D9E"/>
    <w:multiLevelType w:val="hybridMultilevel"/>
    <w:tmpl w:val="0C34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61D5"/>
    <w:rsid w:val="000C6512"/>
    <w:rsid w:val="000E1F2B"/>
    <w:rsid w:val="00170C6B"/>
    <w:rsid w:val="001C2AAD"/>
    <w:rsid w:val="001D18BF"/>
    <w:rsid w:val="001D5AC8"/>
    <w:rsid w:val="001F2D97"/>
    <w:rsid w:val="001F6097"/>
    <w:rsid w:val="001F6E54"/>
    <w:rsid w:val="00201AE9"/>
    <w:rsid w:val="00243512"/>
    <w:rsid w:val="00280BCD"/>
    <w:rsid w:val="003A707F"/>
    <w:rsid w:val="003B0EC1"/>
    <w:rsid w:val="003B573B"/>
    <w:rsid w:val="003F2CBD"/>
    <w:rsid w:val="00403687"/>
    <w:rsid w:val="00424B97"/>
    <w:rsid w:val="004977EA"/>
    <w:rsid w:val="004B2753"/>
    <w:rsid w:val="00517C00"/>
    <w:rsid w:val="00520873"/>
    <w:rsid w:val="005218A9"/>
    <w:rsid w:val="00573D44"/>
    <w:rsid w:val="0058056B"/>
    <w:rsid w:val="005866E2"/>
    <w:rsid w:val="005C4341"/>
    <w:rsid w:val="00611BFC"/>
    <w:rsid w:val="006414D7"/>
    <w:rsid w:val="00647252"/>
    <w:rsid w:val="00652E8F"/>
    <w:rsid w:val="006A12A9"/>
    <w:rsid w:val="006C0A62"/>
    <w:rsid w:val="006E44B9"/>
    <w:rsid w:val="00726EA0"/>
    <w:rsid w:val="00735589"/>
    <w:rsid w:val="00797AAF"/>
    <w:rsid w:val="00840A06"/>
    <w:rsid w:val="008439B7"/>
    <w:rsid w:val="0087253F"/>
    <w:rsid w:val="008B4A00"/>
    <w:rsid w:val="008B5B44"/>
    <w:rsid w:val="008E4F6C"/>
    <w:rsid w:val="00911111"/>
    <w:rsid w:val="009539C7"/>
    <w:rsid w:val="00A00F21"/>
    <w:rsid w:val="00A9143F"/>
    <w:rsid w:val="00A92350"/>
    <w:rsid w:val="00B03C87"/>
    <w:rsid w:val="00B1186C"/>
    <w:rsid w:val="00B25735"/>
    <w:rsid w:val="00B303C0"/>
    <w:rsid w:val="00B627A5"/>
    <w:rsid w:val="00B84226"/>
    <w:rsid w:val="00BA31C5"/>
    <w:rsid w:val="00BD3F62"/>
    <w:rsid w:val="00BE7780"/>
    <w:rsid w:val="00C63C4E"/>
    <w:rsid w:val="00C72C30"/>
    <w:rsid w:val="00CE6488"/>
    <w:rsid w:val="00CF0FE4"/>
    <w:rsid w:val="00D03658"/>
    <w:rsid w:val="00D229E5"/>
    <w:rsid w:val="00D325BD"/>
    <w:rsid w:val="00D57757"/>
    <w:rsid w:val="00D77A88"/>
    <w:rsid w:val="00DA068B"/>
    <w:rsid w:val="00DF5B1D"/>
    <w:rsid w:val="00E20751"/>
    <w:rsid w:val="00E85D46"/>
    <w:rsid w:val="00E87A4D"/>
    <w:rsid w:val="00E91B23"/>
    <w:rsid w:val="00F03910"/>
    <w:rsid w:val="00F22B1C"/>
    <w:rsid w:val="00F235CA"/>
    <w:rsid w:val="00F40885"/>
    <w:rsid w:val="00FA2560"/>
    <w:rsid w:val="00FD6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517C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7C00"/>
    <w:rPr>
      <w:color w:val="0563C1"/>
      <w:u w:val="single"/>
    </w:rPr>
  </w:style>
  <w:style w:type="paragraph" w:styleId="ListParagraph">
    <w:name w:val="List Paragraph"/>
    <w:basedOn w:val="Normal"/>
    <w:uiPriority w:val="34"/>
    <w:qFormat/>
    <w:rsid w:val="006A12A9"/>
    <w:pPr>
      <w:spacing w:after="0" w:line="240" w:lineRule="auto"/>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a.gov.au/investig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2022-12-20T23:58:00Z</dcterms:created>
  <dcterms:modified xsi:type="dcterms:W3CDTF">2022-12-23T00:41:00Z</dcterms:modified>
  <cp:category/>
  <cp:contentStatus/>
  <dc:language/>
  <cp:version/>
</cp:coreProperties>
</file>