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3F" w:rsidRDefault="001F063F" w:rsidP="001F063F">
      <w:pPr>
        <w:spacing w:after="120" w:line="240" w:lineRule="auto"/>
        <w:jc w:val="center"/>
        <w:outlineLvl w:val="0"/>
        <w:rPr>
          <w:rFonts w:ascii="Times New Roman" w:hAnsi="Times New Roman"/>
          <w:b/>
        </w:rPr>
      </w:pPr>
      <w:r>
        <w:rPr>
          <w:noProof/>
          <w:lang w:eastAsia="en-AU"/>
        </w:rPr>
        <w:drawing>
          <wp:inline distT="0" distB="0" distL="0" distR="0" wp14:anchorId="7D7B24BB" wp14:editId="783D0E98">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1F063F" w:rsidRDefault="001F063F" w:rsidP="001F063F">
      <w:pPr>
        <w:spacing w:before="240" w:after="120" w:line="240" w:lineRule="auto"/>
        <w:jc w:val="center"/>
        <w:outlineLvl w:val="0"/>
        <w:rPr>
          <w:rFonts w:ascii="Times New Roman" w:hAnsi="Times New Roman"/>
          <w:b/>
        </w:rPr>
      </w:pPr>
      <w:r>
        <w:rPr>
          <w:rFonts w:ascii="Times New Roman" w:hAnsi="Times New Roman"/>
          <w:b/>
        </w:rPr>
        <w:t>NOTICE OF INVESTIGATION</w:t>
      </w:r>
    </w:p>
    <w:p w:rsidR="001F063F" w:rsidRDefault="001F063F" w:rsidP="001F063F">
      <w:pPr>
        <w:spacing w:after="120" w:line="240" w:lineRule="auto"/>
        <w:jc w:val="center"/>
        <w:outlineLvl w:val="0"/>
        <w:rPr>
          <w:rFonts w:ascii="Times New Roman" w:hAnsi="Times New Roman"/>
          <w:b/>
        </w:rPr>
      </w:pPr>
      <w:r>
        <w:rPr>
          <w:rFonts w:ascii="Times New Roman" w:hAnsi="Times New Roman"/>
          <w:b/>
        </w:rPr>
        <w:t>Section 196G of the</w:t>
      </w:r>
    </w:p>
    <w:p w:rsidR="001F063F" w:rsidRDefault="001F063F" w:rsidP="001F063F">
      <w:pPr>
        <w:spacing w:after="120" w:line="240" w:lineRule="auto"/>
        <w:jc w:val="center"/>
        <w:outlineLvl w:val="0"/>
        <w:rPr>
          <w:rFonts w:ascii="Times New Roman" w:hAnsi="Times New Roman"/>
          <w:b/>
        </w:rPr>
      </w:pPr>
      <w:r>
        <w:rPr>
          <w:rFonts w:ascii="Times New Roman" w:hAnsi="Times New Roman"/>
          <w:i/>
        </w:rPr>
        <w:t>Veterans' Entitlements Act 1986</w:t>
      </w:r>
    </w:p>
    <w:p w:rsidR="001F063F" w:rsidRPr="008F4078" w:rsidRDefault="001F063F" w:rsidP="001F063F">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w:t>
      </w:r>
      <w:bookmarkStart w:id="0" w:name="_GoBack"/>
      <w:bookmarkEnd w:id="0"/>
      <w:r w:rsidRPr="008F4078">
        <w:rPr>
          <w:rFonts w:ascii="Times New Roman" w:hAnsi="Times New Roman"/>
        </w:rPr>
        <w:t xml:space="preserv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5098"/>
        <w:gridCol w:w="4144"/>
      </w:tblGrid>
      <w:tr w:rsidR="001F063F" w:rsidRPr="008F4078" w:rsidTr="006C69E0">
        <w:trPr>
          <w:jc w:val="center"/>
        </w:trPr>
        <w:tc>
          <w:tcPr>
            <w:tcW w:w="5098" w:type="dxa"/>
          </w:tcPr>
          <w:p w:rsidR="001F063F" w:rsidRPr="008F4078" w:rsidRDefault="001F063F" w:rsidP="006C69E0">
            <w:pPr>
              <w:spacing w:after="60"/>
              <w:rPr>
                <w:b/>
              </w:rPr>
            </w:pPr>
            <w:bookmarkStart w:id="1" w:name="OLE_LINK3"/>
            <w:bookmarkStart w:id="2" w:name="OLE_LINK4"/>
            <w:r w:rsidRPr="008F4078">
              <w:rPr>
                <w:b/>
              </w:rPr>
              <w:t>Condition:</w:t>
            </w:r>
          </w:p>
        </w:tc>
        <w:tc>
          <w:tcPr>
            <w:tcW w:w="4144" w:type="dxa"/>
          </w:tcPr>
          <w:p w:rsidR="001F063F" w:rsidRPr="008F4078" w:rsidRDefault="001F063F" w:rsidP="006C69E0">
            <w:pPr>
              <w:spacing w:after="60"/>
              <w:rPr>
                <w:b/>
              </w:rPr>
            </w:pPr>
            <w:r w:rsidRPr="008F4078">
              <w:rPr>
                <w:b/>
              </w:rPr>
              <w:t>Instrument Nos.:</w:t>
            </w:r>
          </w:p>
        </w:tc>
      </w:tr>
      <w:bookmarkEnd w:id="1"/>
      <w:bookmarkEnd w:id="2"/>
      <w:tr w:rsidR="001F063F" w:rsidRPr="0004785A" w:rsidTr="006C69E0">
        <w:tblPrEx>
          <w:jc w:val="left"/>
        </w:tblPrEx>
        <w:trPr>
          <w:trHeight w:val="255"/>
        </w:trPr>
        <w:tc>
          <w:tcPr>
            <w:tcW w:w="5098" w:type="dxa"/>
          </w:tcPr>
          <w:p w:rsidR="001F063F" w:rsidRPr="00D701AB" w:rsidRDefault="001F063F" w:rsidP="006C69E0">
            <w:r w:rsidRPr="0025635E">
              <w:t>aortic stenosis</w:t>
            </w:r>
          </w:p>
        </w:tc>
        <w:tc>
          <w:tcPr>
            <w:tcW w:w="4144" w:type="dxa"/>
          </w:tcPr>
          <w:p w:rsidR="001F063F" w:rsidRDefault="001F063F" w:rsidP="006C69E0">
            <w:r>
              <w:t>21 and 22 of 2013, as amended</w:t>
            </w:r>
          </w:p>
        </w:tc>
      </w:tr>
      <w:tr w:rsidR="001F063F" w:rsidRPr="0004785A" w:rsidTr="006C69E0">
        <w:tblPrEx>
          <w:jc w:val="left"/>
        </w:tblPrEx>
        <w:trPr>
          <w:trHeight w:val="255"/>
        </w:trPr>
        <w:tc>
          <w:tcPr>
            <w:tcW w:w="5098" w:type="dxa"/>
          </w:tcPr>
          <w:p w:rsidR="001F063F" w:rsidRPr="0025635E" w:rsidRDefault="001F063F" w:rsidP="006C69E0">
            <w:r w:rsidRPr="0025635E">
              <w:t>goitre</w:t>
            </w:r>
          </w:p>
        </w:tc>
        <w:tc>
          <w:tcPr>
            <w:tcW w:w="4144" w:type="dxa"/>
          </w:tcPr>
          <w:p w:rsidR="001F063F" w:rsidRDefault="001F063F" w:rsidP="006C69E0">
            <w:r>
              <w:t>23 and 24 of 2013, as amended</w:t>
            </w:r>
          </w:p>
        </w:tc>
      </w:tr>
      <w:tr w:rsidR="001F063F" w:rsidRPr="0004785A" w:rsidTr="006C69E0">
        <w:tblPrEx>
          <w:jc w:val="left"/>
        </w:tblPrEx>
        <w:trPr>
          <w:trHeight w:val="255"/>
        </w:trPr>
        <w:tc>
          <w:tcPr>
            <w:tcW w:w="5098" w:type="dxa"/>
            <w:hideMark/>
          </w:tcPr>
          <w:p w:rsidR="001F063F" w:rsidRPr="00CA106C" w:rsidRDefault="001F063F" w:rsidP="006C69E0">
            <w:r w:rsidRPr="00D701AB">
              <w:t xml:space="preserve">chronic gastritis and chronic </w:t>
            </w:r>
            <w:proofErr w:type="spellStart"/>
            <w:r w:rsidRPr="00D701AB">
              <w:t>gastropathy</w:t>
            </w:r>
            <w:proofErr w:type="spellEnd"/>
          </w:p>
        </w:tc>
        <w:tc>
          <w:tcPr>
            <w:tcW w:w="4144" w:type="dxa"/>
          </w:tcPr>
          <w:p w:rsidR="001F063F" w:rsidRPr="0004785A" w:rsidRDefault="001F063F" w:rsidP="006C69E0">
            <w:r>
              <w:t>25 and 26 of 2013, as amended</w:t>
            </w:r>
          </w:p>
        </w:tc>
      </w:tr>
      <w:tr w:rsidR="001F063F" w:rsidRPr="0004785A" w:rsidTr="006C69E0">
        <w:tblPrEx>
          <w:jc w:val="left"/>
        </w:tblPrEx>
        <w:trPr>
          <w:trHeight w:val="255"/>
        </w:trPr>
        <w:tc>
          <w:tcPr>
            <w:tcW w:w="5098" w:type="dxa"/>
          </w:tcPr>
          <w:p w:rsidR="001F063F" w:rsidRPr="0025635E" w:rsidRDefault="001F063F" w:rsidP="006C69E0">
            <w:r w:rsidRPr="0025635E">
              <w:t>hyperthyroidism and thyrotoxicosis</w:t>
            </w:r>
          </w:p>
        </w:tc>
        <w:tc>
          <w:tcPr>
            <w:tcW w:w="4144" w:type="dxa"/>
          </w:tcPr>
          <w:p w:rsidR="001F063F" w:rsidRDefault="001F063F" w:rsidP="006C69E0">
            <w:r>
              <w:t>27 and 28 of 2013</w:t>
            </w:r>
          </w:p>
        </w:tc>
      </w:tr>
      <w:tr w:rsidR="001F063F" w:rsidRPr="0004785A" w:rsidTr="006C69E0">
        <w:tblPrEx>
          <w:jc w:val="left"/>
        </w:tblPrEx>
        <w:trPr>
          <w:trHeight w:val="255"/>
        </w:trPr>
        <w:tc>
          <w:tcPr>
            <w:tcW w:w="5098" w:type="dxa"/>
          </w:tcPr>
          <w:p w:rsidR="001F063F" w:rsidRPr="0025635E" w:rsidRDefault="001F063F" w:rsidP="006C69E0">
            <w:r w:rsidRPr="0025635E">
              <w:t>hypothyroidism</w:t>
            </w:r>
          </w:p>
        </w:tc>
        <w:tc>
          <w:tcPr>
            <w:tcW w:w="4144" w:type="dxa"/>
          </w:tcPr>
          <w:p w:rsidR="001F063F" w:rsidRDefault="001F063F" w:rsidP="006C69E0">
            <w:r>
              <w:t>29 and 30 of 2013, as amended</w:t>
            </w:r>
          </w:p>
        </w:tc>
      </w:tr>
      <w:tr w:rsidR="001F063F" w:rsidRPr="0004785A" w:rsidTr="006C69E0">
        <w:tblPrEx>
          <w:jc w:val="left"/>
        </w:tblPrEx>
        <w:trPr>
          <w:trHeight w:val="255"/>
        </w:trPr>
        <w:tc>
          <w:tcPr>
            <w:tcW w:w="5098" w:type="dxa"/>
          </w:tcPr>
          <w:p w:rsidR="001F063F" w:rsidRPr="0025635E" w:rsidRDefault="001F063F" w:rsidP="006C69E0">
            <w:r>
              <w:t>H</w:t>
            </w:r>
            <w:r w:rsidRPr="0025635E">
              <w:t>ashimoto's thyroiditis</w:t>
            </w:r>
          </w:p>
        </w:tc>
        <w:tc>
          <w:tcPr>
            <w:tcW w:w="4144" w:type="dxa"/>
          </w:tcPr>
          <w:p w:rsidR="001F063F" w:rsidRDefault="001F063F" w:rsidP="006C69E0">
            <w:r>
              <w:t>31 and 32 of 2013, as amended</w:t>
            </w:r>
          </w:p>
        </w:tc>
      </w:tr>
      <w:tr w:rsidR="001F063F" w:rsidRPr="0004785A" w:rsidTr="006C69E0">
        <w:tblPrEx>
          <w:jc w:val="left"/>
        </w:tblPrEx>
        <w:trPr>
          <w:trHeight w:val="255"/>
        </w:trPr>
        <w:tc>
          <w:tcPr>
            <w:tcW w:w="5098" w:type="dxa"/>
          </w:tcPr>
          <w:p w:rsidR="001F063F" w:rsidRPr="00D701AB" w:rsidRDefault="001F063F" w:rsidP="006C69E0">
            <w:r w:rsidRPr="0025635E">
              <w:t>Graves' disease</w:t>
            </w:r>
          </w:p>
        </w:tc>
        <w:tc>
          <w:tcPr>
            <w:tcW w:w="4144" w:type="dxa"/>
          </w:tcPr>
          <w:p w:rsidR="001F063F" w:rsidRDefault="001F063F" w:rsidP="006C69E0">
            <w:r>
              <w:t>33 and 34 of 2013, as amended</w:t>
            </w:r>
          </w:p>
        </w:tc>
      </w:tr>
      <w:tr w:rsidR="001F063F" w:rsidRPr="0004785A" w:rsidTr="006C69E0">
        <w:tblPrEx>
          <w:jc w:val="left"/>
        </w:tblPrEx>
        <w:trPr>
          <w:trHeight w:val="255"/>
        </w:trPr>
        <w:tc>
          <w:tcPr>
            <w:tcW w:w="5098" w:type="dxa"/>
          </w:tcPr>
          <w:p w:rsidR="001F063F" w:rsidRPr="00D701AB" w:rsidRDefault="001F063F" w:rsidP="006C69E0">
            <w:r w:rsidRPr="0025635E">
              <w:t>colorectal adenoma</w:t>
            </w:r>
          </w:p>
        </w:tc>
        <w:tc>
          <w:tcPr>
            <w:tcW w:w="4144" w:type="dxa"/>
          </w:tcPr>
          <w:p w:rsidR="001F063F" w:rsidRDefault="001F063F" w:rsidP="006C69E0">
            <w:r>
              <w:t>35 and 36 of 2013</w:t>
            </w:r>
          </w:p>
        </w:tc>
      </w:tr>
      <w:tr w:rsidR="001F063F" w:rsidRPr="0004785A" w:rsidTr="006C69E0">
        <w:tblPrEx>
          <w:jc w:val="left"/>
        </w:tblPrEx>
        <w:trPr>
          <w:trHeight w:val="255"/>
        </w:trPr>
        <w:tc>
          <w:tcPr>
            <w:tcW w:w="5098" w:type="dxa"/>
          </w:tcPr>
          <w:p w:rsidR="001F063F" w:rsidRPr="005D6162" w:rsidRDefault="001F063F" w:rsidP="006C69E0">
            <w:r w:rsidRPr="005D6162">
              <w:t xml:space="preserve">malignant neoplasm of the </w:t>
            </w:r>
            <w:proofErr w:type="spellStart"/>
            <w:r w:rsidRPr="005D6162">
              <w:t>colorectum</w:t>
            </w:r>
            <w:proofErr w:type="spellEnd"/>
          </w:p>
        </w:tc>
        <w:tc>
          <w:tcPr>
            <w:tcW w:w="4144" w:type="dxa"/>
          </w:tcPr>
          <w:p w:rsidR="001F063F" w:rsidRDefault="001F063F" w:rsidP="006C69E0">
            <w:r>
              <w:t>37 and 38 of 2013, as amended</w:t>
            </w:r>
          </w:p>
        </w:tc>
      </w:tr>
      <w:tr w:rsidR="001F063F" w:rsidRPr="0004785A" w:rsidTr="006C69E0">
        <w:tblPrEx>
          <w:jc w:val="left"/>
        </w:tblPrEx>
        <w:trPr>
          <w:trHeight w:val="255"/>
        </w:trPr>
        <w:tc>
          <w:tcPr>
            <w:tcW w:w="5098" w:type="dxa"/>
          </w:tcPr>
          <w:p w:rsidR="001F063F" w:rsidRPr="0025635E" w:rsidRDefault="001F063F" w:rsidP="006C69E0">
            <w:r w:rsidRPr="0025635E">
              <w:t>familial adenomatous polyposis</w:t>
            </w:r>
          </w:p>
        </w:tc>
        <w:tc>
          <w:tcPr>
            <w:tcW w:w="4144" w:type="dxa"/>
          </w:tcPr>
          <w:p w:rsidR="001F063F" w:rsidRDefault="001F063F" w:rsidP="006C69E0">
            <w:r>
              <w:t>39 and 40 of 2013</w:t>
            </w:r>
          </w:p>
        </w:tc>
      </w:tr>
      <w:tr w:rsidR="001F063F" w:rsidRPr="0004785A" w:rsidTr="006C69E0">
        <w:tblPrEx>
          <w:jc w:val="left"/>
        </w:tblPrEx>
        <w:trPr>
          <w:trHeight w:val="255"/>
        </w:trPr>
        <w:tc>
          <w:tcPr>
            <w:tcW w:w="5098" w:type="dxa"/>
          </w:tcPr>
          <w:p w:rsidR="001F063F" w:rsidRPr="005D6162" w:rsidRDefault="001F063F" w:rsidP="006C69E0">
            <w:r w:rsidRPr="005D6162">
              <w:t>sleep apnoea</w:t>
            </w:r>
          </w:p>
        </w:tc>
        <w:tc>
          <w:tcPr>
            <w:tcW w:w="4144" w:type="dxa"/>
          </w:tcPr>
          <w:p w:rsidR="001F063F" w:rsidRDefault="001F063F" w:rsidP="006C69E0">
            <w:r>
              <w:t>41 and 42 of 2013</w:t>
            </w:r>
          </w:p>
        </w:tc>
      </w:tr>
      <w:tr w:rsidR="001F063F" w:rsidRPr="0004785A" w:rsidTr="006C69E0">
        <w:tblPrEx>
          <w:jc w:val="left"/>
        </w:tblPrEx>
        <w:trPr>
          <w:trHeight w:val="255"/>
        </w:trPr>
        <w:tc>
          <w:tcPr>
            <w:tcW w:w="5098" w:type="dxa"/>
          </w:tcPr>
          <w:p w:rsidR="001F063F" w:rsidRPr="0025635E" w:rsidRDefault="001F063F" w:rsidP="006C69E0">
            <w:r w:rsidRPr="0025635E">
              <w:t>erectile dysfunction</w:t>
            </w:r>
          </w:p>
        </w:tc>
        <w:tc>
          <w:tcPr>
            <w:tcW w:w="4144" w:type="dxa"/>
          </w:tcPr>
          <w:p w:rsidR="001F063F" w:rsidRDefault="001F063F" w:rsidP="006C69E0">
            <w:r>
              <w:t>43 and 44 of 2013, as amended</w:t>
            </w:r>
          </w:p>
        </w:tc>
      </w:tr>
      <w:tr w:rsidR="001F063F" w:rsidRPr="0004785A" w:rsidTr="006C69E0">
        <w:tblPrEx>
          <w:jc w:val="left"/>
        </w:tblPrEx>
        <w:trPr>
          <w:trHeight w:val="255"/>
        </w:trPr>
        <w:tc>
          <w:tcPr>
            <w:tcW w:w="5098" w:type="dxa"/>
          </w:tcPr>
          <w:p w:rsidR="001F063F" w:rsidRPr="0025635E" w:rsidRDefault="001F063F" w:rsidP="006C69E0">
            <w:r w:rsidRPr="005D6162">
              <w:t>gingivitis</w:t>
            </w:r>
          </w:p>
        </w:tc>
        <w:tc>
          <w:tcPr>
            <w:tcW w:w="4144" w:type="dxa"/>
          </w:tcPr>
          <w:p w:rsidR="001F063F" w:rsidRDefault="001F063F" w:rsidP="006C69E0">
            <w:r>
              <w:t>45 and 46 of 2013, as amended</w:t>
            </w:r>
          </w:p>
        </w:tc>
      </w:tr>
      <w:tr w:rsidR="001F063F" w:rsidRPr="0004785A" w:rsidTr="006C69E0">
        <w:tblPrEx>
          <w:jc w:val="left"/>
        </w:tblPrEx>
        <w:trPr>
          <w:trHeight w:val="255"/>
        </w:trPr>
        <w:tc>
          <w:tcPr>
            <w:tcW w:w="5098" w:type="dxa"/>
          </w:tcPr>
          <w:p w:rsidR="001F063F" w:rsidRPr="005D6162" w:rsidRDefault="001F063F" w:rsidP="006C69E0">
            <w:r w:rsidRPr="005D6162">
              <w:t>periodontitis</w:t>
            </w:r>
          </w:p>
        </w:tc>
        <w:tc>
          <w:tcPr>
            <w:tcW w:w="4144" w:type="dxa"/>
          </w:tcPr>
          <w:p w:rsidR="001F063F" w:rsidRDefault="001F063F" w:rsidP="006C69E0">
            <w:r>
              <w:t>47 and 48 of 2013</w:t>
            </w:r>
          </w:p>
        </w:tc>
      </w:tr>
      <w:tr w:rsidR="001F063F" w:rsidRPr="0004785A" w:rsidTr="006C69E0">
        <w:tblPrEx>
          <w:jc w:val="left"/>
        </w:tblPrEx>
        <w:trPr>
          <w:trHeight w:val="255"/>
        </w:trPr>
        <w:tc>
          <w:tcPr>
            <w:tcW w:w="5098" w:type="dxa"/>
          </w:tcPr>
          <w:p w:rsidR="001F063F" w:rsidRPr="005D6162" w:rsidRDefault="001F063F" w:rsidP="006C69E0">
            <w:r w:rsidRPr="005D6162">
              <w:t>periodontal abscess</w:t>
            </w:r>
          </w:p>
        </w:tc>
        <w:tc>
          <w:tcPr>
            <w:tcW w:w="4144" w:type="dxa"/>
          </w:tcPr>
          <w:p w:rsidR="001F063F" w:rsidRDefault="001F063F" w:rsidP="006C69E0">
            <w:r>
              <w:t>49 and 50 of 2013</w:t>
            </w:r>
          </w:p>
        </w:tc>
      </w:tr>
      <w:tr w:rsidR="001F063F" w:rsidRPr="0004785A" w:rsidTr="006C69E0">
        <w:tblPrEx>
          <w:jc w:val="left"/>
        </w:tblPrEx>
        <w:trPr>
          <w:trHeight w:val="255"/>
        </w:trPr>
        <w:tc>
          <w:tcPr>
            <w:tcW w:w="5098" w:type="dxa"/>
          </w:tcPr>
          <w:p w:rsidR="001F063F" w:rsidRPr="005D6162" w:rsidRDefault="001F063F" w:rsidP="006C69E0">
            <w:r w:rsidRPr="00215CE3">
              <w:t>malignant neoplasm of the anus and anal canal</w:t>
            </w:r>
          </w:p>
        </w:tc>
        <w:tc>
          <w:tcPr>
            <w:tcW w:w="4144" w:type="dxa"/>
          </w:tcPr>
          <w:p w:rsidR="001F063F" w:rsidRDefault="001F063F" w:rsidP="006C69E0">
            <w:r>
              <w:t>51 and 52 of 2013</w:t>
            </w:r>
          </w:p>
        </w:tc>
      </w:tr>
      <w:tr w:rsidR="001F063F" w:rsidRPr="0004785A" w:rsidTr="006C69E0">
        <w:tblPrEx>
          <w:jc w:val="left"/>
        </w:tblPrEx>
        <w:trPr>
          <w:trHeight w:val="255"/>
        </w:trPr>
        <w:tc>
          <w:tcPr>
            <w:tcW w:w="5098" w:type="dxa"/>
          </w:tcPr>
          <w:p w:rsidR="001F063F" w:rsidRPr="005D6162" w:rsidRDefault="001F063F" w:rsidP="006C69E0">
            <w:r w:rsidRPr="005D6162">
              <w:t>fibrosing interstitial lung disease</w:t>
            </w:r>
          </w:p>
        </w:tc>
        <w:tc>
          <w:tcPr>
            <w:tcW w:w="4144" w:type="dxa"/>
          </w:tcPr>
          <w:p w:rsidR="001F063F" w:rsidRDefault="001F063F" w:rsidP="006C69E0">
            <w:r>
              <w:t>53 and 54 of 2013, as amended</w:t>
            </w:r>
          </w:p>
        </w:tc>
      </w:tr>
      <w:tr w:rsidR="001F063F" w:rsidRPr="0004785A" w:rsidTr="006C69E0">
        <w:tblPrEx>
          <w:jc w:val="left"/>
        </w:tblPrEx>
        <w:trPr>
          <w:trHeight w:val="255"/>
        </w:trPr>
        <w:tc>
          <w:tcPr>
            <w:tcW w:w="5098" w:type="dxa"/>
          </w:tcPr>
          <w:p w:rsidR="001F063F" w:rsidRPr="005D6162" w:rsidRDefault="001F063F" w:rsidP="006C69E0">
            <w:r w:rsidRPr="005D6162">
              <w:t>asbestosis</w:t>
            </w:r>
          </w:p>
        </w:tc>
        <w:tc>
          <w:tcPr>
            <w:tcW w:w="4144" w:type="dxa"/>
          </w:tcPr>
          <w:p w:rsidR="001F063F" w:rsidRDefault="001F063F" w:rsidP="006C69E0">
            <w:r>
              <w:t>55 and 56 of 2013</w:t>
            </w:r>
          </w:p>
        </w:tc>
      </w:tr>
      <w:tr w:rsidR="001F063F" w:rsidRPr="0004785A" w:rsidTr="006C69E0">
        <w:tblPrEx>
          <w:jc w:val="left"/>
        </w:tblPrEx>
        <w:trPr>
          <w:trHeight w:val="255"/>
        </w:trPr>
        <w:tc>
          <w:tcPr>
            <w:tcW w:w="5098" w:type="dxa"/>
          </w:tcPr>
          <w:p w:rsidR="001F063F" w:rsidRPr="005D6162" w:rsidRDefault="001F063F" w:rsidP="006C69E0">
            <w:r w:rsidRPr="005D6162">
              <w:t>sudden unexplained death</w:t>
            </w:r>
          </w:p>
        </w:tc>
        <w:tc>
          <w:tcPr>
            <w:tcW w:w="4144" w:type="dxa"/>
          </w:tcPr>
          <w:p w:rsidR="001F063F" w:rsidRDefault="001F063F" w:rsidP="006C69E0">
            <w:r>
              <w:t>57 and 58 of 2013</w:t>
            </w:r>
          </w:p>
        </w:tc>
      </w:tr>
      <w:tr w:rsidR="001F063F" w:rsidRPr="0004785A" w:rsidTr="006C69E0">
        <w:tblPrEx>
          <w:jc w:val="left"/>
        </w:tblPrEx>
        <w:trPr>
          <w:trHeight w:val="255"/>
        </w:trPr>
        <w:tc>
          <w:tcPr>
            <w:tcW w:w="5098" w:type="dxa"/>
          </w:tcPr>
          <w:p w:rsidR="001F063F" w:rsidRPr="005D6162" w:rsidRDefault="001F063F" w:rsidP="006C69E0">
            <w:r w:rsidRPr="005D6162">
              <w:t>malignant neoplasm of the larynx</w:t>
            </w:r>
          </w:p>
        </w:tc>
        <w:tc>
          <w:tcPr>
            <w:tcW w:w="4144" w:type="dxa"/>
          </w:tcPr>
          <w:p w:rsidR="001F063F" w:rsidRDefault="001F063F" w:rsidP="006C69E0">
            <w:r>
              <w:t>61 and 62 of 2013</w:t>
            </w:r>
          </w:p>
        </w:tc>
      </w:tr>
      <w:tr w:rsidR="001F063F" w:rsidRPr="0004785A" w:rsidTr="006C69E0">
        <w:tblPrEx>
          <w:jc w:val="left"/>
        </w:tblPrEx>
        <w:trPr>
          <w:trHeight w:val="255"/>
        </w:trPr>
        <w:tc>
          <w:tcPr>
            <w:tcW w:w="5098" w:type="dxa"/>
          </w:tcPr>
          <w:p w:rsidR="001F063F" w:rsidRPr="005D6162" w:rsidRDefault="001F063F" w:rsidP="006C69E0">
            <w:r>
              <w:t>hypertension</w:t>
            </w:r>
          </w:p>
        </w:tc>
        <w:tc>
          <w:tcPr>
            <w:tcW w:w="4144" w:type="dxa"/>
          </w:tcPr>
          <w:p w:rsidR="001F063F" w:rsidRDefault="001F063F" w:rsidP="006C69E0">
            <w:r>
              <w:t>63, as amended and 64 of 2013</w:t>
            </w:r>
          </w:p>
        </w:tc>
      </w:tr>
      <w:tr w:rsidR="001F063F" w:rsidRPr="0004785A" w:rsidTr="006C69E0">
        <w:tblPrEx>
          <w:jc w:val="left"/>
        </w:tblPrEx>
        <w:trPr>
          <w:trHeight w:val="255"/>
        </w:trPr>
        <w:tc>
          <w:tcPr>
            <w:tcW w:w="5098" w:type="dxa"/>
          </w:tcPr>
          <w:p w:rsidR="001F063F" w:rsidRPr="005D6162" w:rsidRDefault="001F063F" w:rsidP="006C69E0">
            <w:r w:rsidRPr="005D6162">
              <w:t>gastro-oesophageal reflux disease</w:t>
            </w:r>
          </w:p>
        </w:tc>
        <w:tc>
          <w:tcPr>
            <w:tcW w:w="4144" w:type="dxa"/>
          </w:tcPr>
          <w:p w:rsidR="001F063F" w:rsidRDefault="001F063F" w:rsidP="006C69E0">
            <w:r>
              <w:t>65 and 66 of 2013</w:t>
            </w:r>
          </w:p>
        </w:tc>
      </w:tr>
      <w:tr w:rsidR="001F063F" w:rsidRPr="0004785A" w:rsidTr="006C69E0">
        <w:tblPrEx>
          <w:jc w:val="left"/>
        </w:tblPrEx>
        <w:trPr>
          <w:trHeight w:val="255"/>
        </w:trPr>
        <w:tc>
          <w:tcPr>
            <w:tcW w:w="5098" w:type="dxa"/>
          </w:tcPr>
          <w:p w:rsidR="001F063F" w:rsidRPr="005D6162" w:rsidRDefault="001F063F" w:rsidP="006C69E0">
            <w:r w:rsidRPr="005D6162">
              <w:t>motor neurone disease</w:t>
            </w:r>
          </w:p>
        </w:tc>
        <w:tc>
          <w:tcPr>
            <w:tcW w:w="4144" w:type="dxa"/>
          </w:tcPr>
          <w:p w:rsidR="001F063F" w:rsidRDefault="001F063F" w:rsidP="006C69E0">
            <w:r>
              <w:t>67, as amended and 68 of 2013</w:t>
            </w:r>
          </w:p>
        </w:tc>
      </w:tr>
    </w:tbl>
    <w:p w:rsidR="001F063F" w:rsidRPr="008F4078" w:rsidRDefault="001F063F" w:rsidP="001F063F">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1F063F" w:rsidRDefault="001F063F" w:rsidP="001F063F">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1F063F" w:rsidRDefault="001F063F" w:rsidP="001F063F">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1F063F" w:rsidRDefault="001F063F" w:rsidP="001F063F">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1F063F" w:rsidRDefault="001F063F" w:rsidP="001F063F">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1F063F" w:rsidRDefault="001F063F" w:rsidP="001F063F">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1F063F" w:rsidRPr="00B959F6" w:rsidRDefault="001F063F" w:rsidP="001F063F">
      <w:pPr>
        <w:keepNext/>
        <w:spacing w:after="120" w:line="240" w:lineRule="auto"/>
        <w:jc w:val="both"/>
        <w:rPr>
          <w:rFonts w:ascii="Times New Roman" w:hAnsi="Times New Roman"/>
        </w:rPr>
      </w:pPr>
      <w:r w:rsidRPr="00B959F6">
        <w:rPr>
          <w:rFonts w:ascii="Times New Roman" w:hAnsi="Times New Roman"/>
        </w:rPr>
        <w:lastRenderedPageBreak/>
        <w:t xml:space="preserve">The Authority will hold its first meeting for the purposes of each of these investigations on </w:t>
      </w:r>
      <w:r>
        <w:rPr>
          <w:rFonts w:ascii="Times New Roman" w:hAnsi="Times New Roman"/>
          <w:b/>
        </w:rPr>
        <w:t>7 April</w:t>
      </w:r>
      <w:r w:rsidRPr="00B959F6">
        <w:rPr>
          <w:rFonts w:ascii="Times New Roman" w:hAnsi="Times New Roman"/>
          <w:b/>
        </w:rPr>
        <w:t> 20</w:t>
      </w:r>
      <w:r>
        <w:rPr>
          <w:rFonts w:ascii="Times New Roman" w:hAnsi="Times New Roman"/>
          <w:b/>
        </w:rPr>
        <w:t>21</w:t>
      </w:r>
      <w:r w:rsidRPr="00B959F6">
        <w:rPr>
          <w:rFonts w:ascii="Times New Roman" w:hAnsi="Times New Roman"/>
        </w:rPr>
        <w:t>.</w:t>
      </w:r>
    </w:p>
    <w:p w:rsidR="001F063F" w:rsidRPr="00B959F6" w:rsidRDefault="001F063F" w:rsidP="001F063F">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1F063F" w:rsidRPr="00B959F6" w:rsidRDefault="001F063F" w:rsidP="001F063F">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7"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8"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1F063F" w:rsidRPr="00B959F6" w:rsidRDefault="001F063F" w:rsidP="001F063F">
      <w:pPr>
        <w:keepNext/>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Pr>
          <w:rFonts w:ascii="Times New Roman" w:hAnsi="Times New Roman"/>
          <w:b/>
        </w:rPr>
        <w:t>29 March</w:t>
      </w:r>
      <w:r w:rsidRPr="00B959F6">
        <w:rPr>
          <w:rFonts w:ascii="Times New Roman" w:hAnsi="Times New Roman"/>
          <w:b/>
        </w:rPr>
        <w:t> 20</w:t>
      </w:r>
      <w:r>
        <w:rPr>
          <w:rFonts w:ascii="Times New Roman" w:hAnsi="Times New Roman"/>
          <w:b/>
        </w:rPr>
        <w:t>21</w:t>
      </w:r>
      <w:r w:rsidRPr="00B959F6">
        <w:rPr>
          <w:rFonts w:ascii="Times New Roman" w:hAnsi="Times New Roman"/>
        </w:rPr>
        <w:t>.</w:t>
      </w:r>
    </w:p>
    <w:p w:rsidR="001F063F" w:rsidRDefault="001F063F" w:rsidP="001F063F">
      <w:pPr>
        <w:spacing w:after="120" w:line="240" w:lineRule="auto"/>
        <w:rPr>
          <w:rFonts w:ascii="Times New Roman" w:hAnsi="Times New Roman"/>
        </w:rPr>
      </w:pPr>
    </w:p>
    <w:p w:rsidR="001F063F" w:rsidRDefault="001F063F" w:rsidP="001F063F">
      <w:pPr>
        <w:spacing w:after="120" w:line="240" w:lineRule="auto"/>
        <w:rPr>
          <w:rFonts w:ascii="Times New Roman" w:hAnsi="Times New Roman"/>
        </w:rPr>
      </w:pPr>
    </w:p>
    <w:tbl>
      <w:tblPr>
        <w:tblW w:w="0" w:type="auto"/>
        <w:tblLayout w:type="fixed"/>
        <w:tblLook w:val="04A0" w:firstRow="1" w:lastRow="0" w:firstColumn="1" w:lastColumn="0" w:noHBand="0" w:noVBand="1"/>
      </w:tblPr>
      <w:tblGrid>
        <w:gridCol w:w="4106"/>
        <w:gridCol w:w="4910"/>
      </w:tblGrid>
      <w:tr w:rsidR="001F063F" w:rsidTr="006C69E0">
        <w:tc>
          <w:tcPr>
            <w:tcW w:w="4106" w:type="dxa"/>
            <w:shd w:val="clear" w:color="auto" w:fill="auto"/>
          </w:tcPr>
          <w:p w:rsidR="001F063F" w:rsidRPr="00361BE8" w:rsidRDefault="001F063F" w:rsidP="006C69E0">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1F063F" w:rsidRPr="00361BE8" w:rsidRDefault="001F063F" w:rsidP="006C69E0">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1F063F" w:rsidRPr="005E4978" w:rsidRDefault="001F063F" w:rsidP="006C69E0">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1F063F" w:rsidRPr="005E4978" w:rsidRDefault="001F063F" w:rsidP="006C69E0">
            <w:pPr>
              <w:rPr>
                <w:rFonts w:eastAsia="Calibri"/>
              </w:rPr>
            </w:pPr>
          </w:p>
        </w:tc>
      </w:tr>
      <w:tr w:rsidR="001F063F" w:rsidRPr="005D464B" w:rsidTr="006C69E0">
        <w:tc>
          <w:tcPr>
            <w:tcW w:w="4106" w:type="dxa"/>
            <w:shd w:val="clear" w:color="auto" w:fill="auto"/>
          </w:tcPr>
          <w:p w:rsidR="001F063F" w:rsidRPr="005D464B" w:rsidRDefault="001F063F" w:rsidP="006C69E0">
            <w:pPr>
              <w:jc w:val="center"/>
              <w:rPr>
                <w:rFonts w:ascii="Times New Roman" w:eastAsia="Calibri" w:hAnsi="Times New Roman"/>
              </w:rPr>
            </w:pPr>
          </w:p>
        </w:tc>
        <w:tc>
          <w:tcPr>
            <w:tcW w:w="4910" w:type="dxa"/>
            <w:shd w:val="clear" w:color="auto" w:fill="auto"/>
          </w:tcPr>
          <w:p w:rsidR="001F063F" w:rsidRPr="00361BE8" w:rsidRDefault="001F063F" w:rsidP="006C69E0">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NICHOLAS SAUNDERS AO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r>
            <w:r>
              <w:rPr>
                <w:rFonts w:ascii="Times New Roman" w:hAnsi="Times New Roman"/>
              </w:rPr>
              <w:t>24</w:t>
            </w:r>
            <w:r w:rsidRPr="00361BE8">
              <w:rPr>
                <w:rFonts w:ascii="Times New Roman" w:hAnsi="Times New Roman"/>
              </w:rPr>
              <w:t xml:space="preserve"> / </w:t>
            </w:r>
            <w:r>
              <w:rPr>
                <w:rFonts w:ascii="Times New Roman" w:hAnsi="Times New Roman"/>
              </w:rPr>
              <w:t>12</w:t>
            </w:r>
            <w:r w:rsidRPr="00361BE8">
              <w:rPr>
                <w:rFonts w:ascii="Times New Roman" w:hAnsi="Times New Roman"/>
              </w:rPr>
              <w:t xml:space="preserve"> /</w:t>
            </w:r>
            <w:r>
              <w:rPr>
                <w:rFonts w:ascii="Times New Roman" w:hAnsi="Times New Roman"/>
              </w:rPr>
              <w:t xml:space="preserve"> 2020</w:t>
            </w:r>
          </w:p>
        </w:tc>
      </w:tr>
    </w:tbl>
    <w:p w:rsidR="001F063F" w:rsidRDefault="001F063F" w:rsidP="001F063F">
      <w:pPr>
        <w:spacing w:after="120" w:line="240" w:lineRule="auto"/>
        <w:rPr>
          <w:rFonts w:ascii="Times New Roman" w:hAnsi="Times New Roman"/>
        </w:rPr>
      </w:pPr>
    </w:p>
    <w:p w:rsidR="004B2753" w:rsidRPr="00424B97" w:rsidRDefault="004B2753" w:rsidP="00424B97"/>
    <w:sectPr w:rsidR="004B2753" w:rsidRPr="00424B97" w:rsidSect="008E4F6C">
      <w:headerReference w:type="first" r:id="rId9"/>
      <w:foot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681" w:rsidRPr="00FE46D9" w:rsidRDefault="00F85681" w:rsidP="00F85681">
    <w:pPr>
      <w:pStyle w:val="Footer"/>
      <w:jc w:val="center"/>
      <w:rPr>
        <w:rFonts w:ascii="Times New Roman" w:hAnsi="Times New Roman"/>
        <w:b/>
        <w:i/>
        <w:sz w:val="20"/>
        <w:szCs w:val="20"/>
      </w:rPr>
    </w:pPr>
    <w:r w:rsidRPr="00FE46D9">
      <w:rPr>
        <w:rFonts w:ascii="Times New Roman" w:hAnsi="Times New Roman"/>
        <w:b/>
        <w:i/>
        <w:sz w:val="20"/>
        <w:szCs w:val="20"/>
      </w:rPr>
      <w:t>Repatriation Medical Authority</w:t>
    </w:r>
  </w:p>
  <w:p w:rsidR="00F85681" w:rsidRPr="00FE46D9" w:rsidRDefault="00F85681" w:rsidP="00F85681">
    <w:pPr>
      <w:pStyle w:val="Footer"/>
      <w:jc w:val="center"/>
      <w:rPr>
        <w:rFonts w:ascii="Times New Roman" w:hAnsi="Times New Roman"/>
        <w:b/>
        <w:i/>
        <w:sz w:val="20"/>
        <w:szCs w:val="20"/>
      </w:rPr>
    </w:pPr>
    <w:r w:rsidRPr="00FE46D9">
      <w:rPr>
        <w:rFonts w:ascii="Times New Roman" w:hAnsi="Times New Roman"/>
        <w:b/>
        <w:i/>
        <w:sz w:val="20"/>
        <w:szCs w:val="20"/>
      </w:rPr>
      <w:t>GPO Box 1014, Brisbane, Qld 4001</w:t>
    </w:r>
  </w:p>
  <w:p w:rsidR="00F85681" w:rsidRDefault="00F85681" w:rsidP="00F85681">
    <w:pPr>
      <w:pStyle w:val="Footer"/>
      <w:jc w:val="center"/>
    </w:pPr>
    <w:r w:rsidRPr="00FE46D9">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063F"/>
    <w:rsid w:val="001F6E54"/>
    <w:rsid w:val="00280BCD"/>
    <w:rsid w:val="0036354A"/>
    <w:rsid w:val="003A707F"/>
    <w:rsid w:val="003B0EC1"/>
    <w:rsid w:val="003B573B"/>
    <w:rsid w:val="003F2CBD"/>
    <w:rsid w:val="00424B97"/>
    <w:rsid w:val="004B2753"/>
    <w:rsid w:val="004F3EB5"/>
    <w:rsid w:val="00520873"/>
    <w:rsid w:val="00573D44"/>
    <w:rsid w:val="00840A06"/>
    <w:rsid w:val="008439B7"/>
    <w:rsid w:val="0087253F"/>
    <w:rsid w:val="008E4F6C"/>
    <w:rsid w:val="009539C7"/>
    <w:rsid w:val="00A00F21"/>
    <w:rsid w:val="00B64062"/>
    <w:rsid w:val="00B84226"/>
    <w:rsid w:val="00BE7780"/>
    <w:rsid w:val="00C63C4E"/>
    <w:rsid w:val="00C72C30"/>
    <w:rsid w:val="00D229E5"/>
    <w:rsid w:val="00D77A88"/>
    <w:rsid w:val="00F03910"/>
    <w:rsid w:val="00F40885"/>
    <w:rsid w:val="00F85681"/>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1F06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06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gov.au" TargetMode="External"/><Relationship Id="rId3" Type="http://schemas.openxmlformats.org/officeDocument/2006/relationships/webSettings" Target="webSettings.xml"/><Relationship Id="rId7" Type="http://schemas.openxmlformats.org/officeDocument/2006/relationships/hyperlink" Target="http://www.rma.gov.au/investigatio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3170</Characters>
  <Application>Microsoft Office Word</Application>
  <DocSecurity>0</DocSecurity>
  <PresentationFormat/>
  <Lines>26</Lines>
  <Paragraphs>7</Paragraphs>
  <ScaleCrop>false</ScaleCrop>
  <LinksUpToDate>false</LinksUpToDate>
  <CharactersWithSpaces>3719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2020-12-24T03:34:00Z</dcterms:created>
  <dcterms:modified xsi:type="dcterms:W3CDTF">2020-12-24T03:34:00Z</dcterms:modified>
  <dc:language/>
  <cp:version/>
</cp:coreProperties>
</file>