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F70" w:rsidRDefault="0003625F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noProof/>
          <w:lang w:eastAsia="en-AU"/>
        </w:rPr>
        <w:drawing>
          <wp:inline distT="0" distB="0" distL="0" distR="0">
            <wp:extent cx="1757680" cy="932180"/>
            <wp:effectExtent l="0" t="0" r="0" b="127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AB2F70" w:rsidRDefault="00AB2F7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</w:t>
      </w:r>
      <w:r w:rsidR="0058487B">
        <w:rPr>
          <w:rFonts w:ascii="Times New Roman" w:hAnsi="Times New Roman"/>
        </w:rPr>
        <w:t xml:space="preserve">that it intends to carry out an investigation under subsection 196B(7) of the VEA to review the contents of Statements of Principles Instrument No. 55 of 2014, as amended &amp; </w:t>
      </w:r>
      <w:r w:rsidR="00572E02">
        <w:rPr>
          <w:rFonts w:ascii="Times New Roman" w:hAnsi="Times New Roman"/>
        </w:rPr>
        <w:t xml:space="preserve">No. </w:t>
      </w:r>
      <w:r w:rsidR="0058487B">
        <w:rPr>
          <w:rFonts w:ascii="Times New Roman" w:hAnsi="Times New Roman"/>
        </w:rPr>
        <w:t xml:space="preserve">56 of 2014 concerning </w:t>
      </w:r>
      <w:r w:rsidR="0058487B">
        <w:rPr>
          <w:rFonts w:ascii="Times New Roman" w:hAnsi="Times New Roman"/>
          <w:b/>
        </w:rPr>
        <w:t>chronic multisymptom illness</w:t>
      </w:r>
      <w:r w:rsidR="0058487B">
        <w:rPr>
          <w:rFonts w:ascii="Times New Roman" w:hAnsi="Times New Roman"/>
        </w:rPr>
        <w:t>.</w:t>
      </w:r>
    </w:p>
    <w:p w:rsidR="00AB2F70" w:rsidRDefault="00AB2F70" w:rsidP="002179D2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pension under Part II or Part IV of the </w:t>
      </w:r>
      <w:r w:rsidR="00D954AF">
        <w:rPr>
          <w:rFonts w:ascii="Times New Roman" w:hAnsi="Times New Roman"/>
        </w:rPr>
        <w:t>VEA</w:t>
      </w:r>
      <w:r>
        <w:rPr>
          <w:rFonts w:ascii="Times New Roman" w:hAnsi="Times New Roman"/>
        </w:rPr>
        <w:t>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Repatriation Commission or the Military Rehabilitation and Compensation Commission; and</w:t>
      </w:r>
    </w:p>
    <w:p w:rsidR="00AB2F70" w:rsidRDefault="00AB2F70">
      <w:pPr>
        <w:spacing w:after="120" w:line="240" w:lineRule="auto"/>
        <w:ind w:left="71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having expertise in a field relevant to the investigation.</w:t>
      </w:r>
    </w:p>
    <w:p w:rsidR="00AB2F70" w:rsidRDefault="00AB2F7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334E12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 xml:space="preserve"> </w:t>
      </w:r>
      <w:r w:rsidR="00334E12">
        <w:rPr>
          <w:rFonts w:ascii="Times New Roman" w:hAnsi="Times New Roman"/>
          <w:b/>
        </w:rPr>
        <w:t>August</w:t>
      </w:r>
      <w:r>
        <w:rPr>
          <w:rFonts w:ascii="Times New Roman" w:hAnsi="Times New Roman"/>
          <w:b/>
        </w:rPr>
        <w:t xml:space="preserve"> </w:t>
      </w:r>
      <w:r w:rsidR="00334E12">
        <w:rPr>
          <w:rFonts w:ascii="Times New Roman" w:hAnsi="Times New Roman"/>
          <w:b/>
        </w:rPr>
        <w:t>2019</w:t>
      </w:r>
      <w:r>
        <w:rPr>
          <w:rFonts w:ascii="Times New Roman" w:hAnsi="Times New Roman"/>
        </w:rPr>
        <w:t>.</w:t>
      </w:r>
    </w:p>
    <w:p w:rsidR="0058487B" w:rsidRDefault="0058487B" w:rsidP="0058487B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Under the VEA, the Authority is required to find out whether there is new information available about how </w:t>
      </w:r>
      <w:r>
        <w:rPr>
          <w:rFonts w:ascii="Times New Roman" w:hAnsi="Times New Roman"/>
          <w:b/>
        </w:rPr>
        <w:t>chronic multisymptom illness</w:t>
      </w:r>
      <w:r>
        <w:rPr>
          <w:rFonts w:ascii="Times New Roman" w:hAnsi="Times New Roman"/>
        </w:rPr>
        <w:t xml:space="preserve"> may be suffered or contracted, or death from </w:t>
      </w:r>
      <w:r>
        <w:rPr>
          <w:rFonts w:ascii="Times New Roman" w:hAnsi="Times New Roman"/>
          <w:b/>
        </w:rPr>
        <w:t>chronic multisymptom illness</w:t>
      </w:r>
      <w:r>
        <w:rPr>
          <w:rFonts w:ascii="Times New Roman" w:hAnsi="Times New Roman"/>
        </w:rPr>
        <w:t xml:space="preserve"> may occur, and the extent to which </w:t>
      </w:r>
      <w:r>
        <w:rPr>
          <w:rFonts w:ascii="Times New Roman" w:hAnsi="Times New Roman"/>
          <w:b/>
        </w:rPr>
        <w:t>chronic multisymptom illness</w:t>
      </w:r>
      <w:r>
        <w:rPr>
          <w:rFonts w:ascii="Times New Roman" w:hAnsi="Times New Roman"/>
        </w:rPr>
        <w:t xml:space="preserve"> or death from </w:t>
      </w:r>
      <w:r>
        <w:rPr>
          <w:rFonts w:ascii="Times New Roman" w:hAnsi="Times New Roman"/>
          <w:b/>
        </w:rPr>
        <w:t>chronic multisymptom illness</w:t>
      </w:r>
      <w:r>
        <w:rPr>
          <w:rFonts w:ascii="Times New Roman" w:hAnsi="Times New Roman"/>
        </w:rPr>
        <w:t xml:space="preserve"> may be war-caused, defence-caused, a service injury, a service disease or a service death.  Persons and organisations wishing to make a submission can use the RMA website </w:t>
      </w:r>
      <w:hyperlink r:id="rId7" w:history="1">
        <w:r w:rsidRPr="007F09C3">
          <w:rPr>
            <w:rStyle w:val="Hyperlink"/>
            <w:rFonts w:ascii="Times New Roman" w:hAnsi="Times New Roman"/>
            <w:color w:val="0000FF"/>
          </w:rPr>
          <w:t>http://www.rma.gov.au/investigations/</w:t>
        </w:r>
      </w:hyperlink>
      <w:r w:rsidRPr="00350964">
        <w:rPr>
          <w:rFonts w:ascii="Times New Roman" w:hAnsi="Times New Roman"/>
        </w:rPr>
        <w:t xml:space="preserve"> to electronically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8" w:history="1">
        <w:r w:rsidRPr="007F09C3">
          <w:rPr>
            <w:rStyle w:val="Hyperlink"/>
            <w:rFonts w:ascii="Times New Roman" w:hAnsi="Times New Roman"/>
            <w:color w:val="0000FF"/>
          </w:rPr>
          <w:t>info@rma.gov.au</w:t>
        </w:r>
      </w:hyperlink>
      <w:r>
        <w:rPr>
          <w:rFonts w:ascii="Times New Roman" w:hAnsi="Times New Roman"/>
        </w:rPr>
        <w:t xml:space="preserve"> or posted to the address below.  The </w:t>
      </w:r>
      <w:r>
        <w:rPr>
          <w:rFonts w:ascii="Times New Roman" w:hAnsi="Times New Roman"/>
          <w:i/>
        </w:rPr>
        <w:t>RMA Submission Guidelines</w:t>
      </w:r>
      <w:r>
        <w:rPr>
          <w:rFonts w:ascii="Times New Roman" w:hAnsi="Times New Roman"/>
        </w:rPr>
        <w:t xml:space="preserve"> are available online for guidance.  The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AB2F70" w:rsidRDefault="00132C86" w:rsidP="00132C8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334E12">
        <w:rPr>
          <w:rFonts w:ascii="Times New Roman" w:hAnsi="Times New Roman"/>
          <w:b/>
        </w:rPr>
        <w:t>19</w:t>
      </w:r>
      <w:r>
        <w:rPr>
          <w:rFonts w:ascii="Times New Roman" w:hAnsi="Times New Roman"/>
          <w:b/>
        </w:rPr>
        <w:t xml:space="preserve"> </w:t>
      </w:r>
      <w:r w:rsidR="00334E12">
        <w:rPr>
          <w:rFonts w:ascii="Times New Roman" w:hAnsi="Times New Roman"/>
          <w:b/>
        </w:rPr>
        <w:t>July</w:t>
      </w:r>
      <w:r>
        <w:rPr>
          <w:rFonts w:ascii="Times New Roman" w:hAnsi="Times New Roman"/>
          <w:b/>
        </w:rPr>
        <w:t xml:space="preserve"> </w:t>
      </w:r>
      <w:r w:rsidR="00334E12">
        <w:rPr>
          <w:rFonts w:ascii="Times New Roman" w:hAnsi="Times New Roman"/>
          <w:b/>
        </w:rPr>
        <w:t>2019</w:t>
      </w:r>
      <w:r>
        <w:rPr>
          <w:rFonts w:ascii="Times New Roman" w:hAnsi="Times New Roman"/>
        </w:rPr>
        <w:t>.</w:t>
      </w:r>
    </w:p>
    <w:p w:rsidR="00AB2F70" w:rsidRDefault="00AB2F70">
      <w:pPr>
        <w:spacing w:after="120" w:line="240" w:lineRule="auto"/>
        <w:rPr>
          <w:rFonts w:ascii="Times New Roman" w:hAnsi="Times New Roman"/>
        </w:rPr>
      </w:pPr>
    </w:p>
    <w:p w:rsidR="009C07B3" w:rsidRDefault="009C07B3">
      <w:pPr>
        <w:spacing w:after="12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501CE3" w:rsidTr="000C2BCE">
        <w:tc>
          <w:tcPr>
            <w:tcW w:w="4106" w:type="dxa"/>
            <w:shd w:val="clear" w:color="auto" w:fill="auto"/>
          </w:tcPr>
          <w:p w:rsidR="00501CE3" w:rsidRPr="00361BE8" w:rsidRDefault="00501CE3" w:rsidP="000C2BCE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501CE3" w:rsidRPr="00361BE8" w:rsidRDefault="00501CE3" w:rsidP="000C2BCE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501CE3" w:rsidRPr="005E4978" w:rsidRDefault="00501CE3" w:rsidP="000C2BCE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501CE3" w:rsidRPr="005E4978" w:rsidRDefault="00CB4712" w:rsidP="000C2BCE">
            <w:pPr>
              <w:rPr>
                <w:rFonts w:eastAsia="Calibri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24CBEA79" wp14:editId="3DEEEDB0">
                  <wp:extent cx="2466975" cy="533400"/>
                  <wp:effectExtent l="0" t="0" r="9525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501CE3" w:rsidRPr="005D464B" w:rsidTr="000C2BCE">
        <w:tc>
          <w:tcPr>
            <w:tcW w:w="4106" w:type="dxa"/>
            <w:shd w:val="clear" w:color="auto" w:fill="auto"/>
          </w:tcPr>
          <w:p w:rsidR="00501CE3" w:rsidRPr="005D464B" w:rsidRDefault="00501CE3" w:rsidP="000C2BCE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501CE3" w:rsidRPr="00361BE8" w:rsidRDefault="00501CE3" w:rsidP="00334E12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PROFESSOR NICHOLAS SAUNDERS AO </w:t>
            </w:r>
            <w:r w:rsidRPr="00361BE8">
              <w:rPr>
                <w:rFonts w:ascii="Times New Roman" w:hAnsi="Times New Roman"/>
              </w:rPr>
              <w:t>CHAIRPERSON</w:t>
            </w:r>
            <w:r w:rsidRPr="00361BE8">
              <w:rPr>
                <w:rFonts w:ascii="Times New Roman" w:hAnsi="Times New Roman"/>
              </w:rPr>
              <w:tab/>
            </w:r>
            <w:r w:rsidRPr="00361BE8">
              <w:rPr>
                <w:rFonts w:ascii="Times New Roman" w:hAnsi="Times New Roman"/>
              </w:rPr>
              <w:tab/>
              <w:t xml:space="preserve"> </w:t>
            </w:r>
            <w:r w:rsidR="00334E12">
              <w:rPr>
                <w:rFonts w:ascii="Times New Roman" w:hAnsi="Times New Roman"/>
              </w:rPr>
              <w:t>26</w:t>
            </w:r>
            <w:r w:rsidRPr="00361BE8">
              <w:rPr>
                <w:rFonts w:ascii="Times New Roman" w:hAnsi="Times New Roman"/>
              </w:rPr>
              <w:t xml:space="preserve"> / </w:t>
            </w:r>
            <w:r w:rsidR="00334E12">
              <w:rPr>
                <w:rFonts w:ascii="Times New Roman" w:hAnsi="Times New Roman"/>
              </w:rPr>
              <w:t>4</w:t>
            </w:r>
            <w:r w:rsidRPr="00361BE8">
              <w:rPr>
                <w:rFonts w:ascii="Times New Roman" w:hAnsi="Times New Roman"/>
              </w:rPr>
              <w:t xml:space="preserve"> /</w:t>
            </w:r>
            <w:r w:rsidR="002179D2">
              <w:rPr>
                <w:rFonts w:ascii="Times New Roman" w:hAnsi="Times New Roman"/>
              </w:rPr>
              <w:t xml:space="preserve"> </w:t>
            </w:r>
            <w:r w:rsidR="00334E12">
              <w:rPr>
                <w:rFonts w:ascii="Times New Roman" w:hAnsi="Times New Roman"/>
              </w:rPr>
              <w:t>2019</w:t>
            </w:r>
          </w:p>
        </w:tc>
      </w:tr>
    </w:tbl>
    <w:p w:rsidR="00AB2F70" w:rsidRDefault="00AB2F70" w:rsidP="00501CE3">
      <w:pPr>
        <w:spacing w:after="120" w:line="240" w:lineRule="auto"/>
        <w:rPr>
          <w:rFonts w:ascii="Times New Roman" w:hAnsi="Times New Roman"/>
        </w:rPr>
      </w:pPr>
    </w:p>
    <w:sectPr w:rsidR="00AB2F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BCE" w:rsidRDefault="000C2BCE">
      <w:pPr>
        <w:spacing w:after="0" w:line="240" w:lineRule="auto"/>
      </w:pPr>
      <w:r>
        <w:separator/>
      </w:r>
    </w:p>
  </w:endnote>
  <w:endnote w:type="continuationSeparator" w:id="0">
    <w:p w:rsidR="000C2BCE" w:rsidRDefault="000C2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9D2" w:rsidRDefault="002179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9D2" w:rsidRDefault="002179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AB2F70" w:rsidRP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BCE" w:rsidRDefault="000C2BCE">
      <w:pPr>
        <w:spacing w:after="0" w:line="240" w:lineRule="auto"/>
      </w:pPr>
      <w:r>
        <w:separator/>
      </w:r>
    </w:p>
  </w:footnote>
  <w:footnote w:type="continuationSeparator" w:id="0">
    <w:p w:rsidR="000C2BCE" w:rsidRDefault="000C2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9D2" w:rsidRDefault="002179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9D2" w:rsidRDefault="002179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AB2F70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03625F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910" cy="54038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AB2F70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AB2F70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AB2F70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AB2F70" w:rsidRDefault="00AB2F70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AB2F70" w:rsidRDefault="00AB2F70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AB2F70" w:rsidRDefault="00AB2F70">
    <w:pPr>
      <w:pStyle w:val="Header"/>
      <w:rPr>
        <w:sz w:val="2"/>
        <w:szCs w:val="2"/>
      </w:rPr>
    </w:pPr>
  </w:p>
  <w:p w:rsidR="00AB2F70" w:rsidRDefault="00AB2F70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86"/>
    <w:rsid w:val="0003625F"/>
    <w:rsid w:val="000C2BCE"/>
    <w:rsid w:val="00132C86"/>
    <w:rsid w:val="002179D2"/>
    <w:rsid w:val="0022652F"/>
    <w:rsid w:val="00334E12"/>
    <w:rsid w:val="00501CE3"/>
    <w:rsid w:val="005152E7"/>
    <w:rsid w:val="00572E02"/>
    <w:rsid w:val="0058487B"/>
    <w:rsid w:val="009A69B2"/>
    <w:rsid w:val="009C07B3"/>
    <w:rsid w:val="00AB2F70"/>
    <w:rsid w:val="00CB4712"/>
    <w:rsid w:val="00D9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character" w:styleId="Hyperlink">
    <w:name w:val="Hyperlink"/>
    <w:rsid w:val="00132C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ma.gov.au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rma.gov.au/investigations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Links>
    <vt:vector size="12" baseType="variant">
      <vt:variant>
        <vt:i4>5898280</vt:i4>
      </vt:variant>
      <vt:variant>
        <vt:i4>18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  <vt:variant>
        <vt:i4>1507396</vt:i4>
      </vt:variant>
      <vt:variant>
        <vt:i4>15</vt:i4>
      </vt:variant>
      <vt:variant>
        <vt:i4>0</vt:i4>
      </vt:variant>
      <vt:variant>
        <vt:i4>5</vt:i4>
      </vt:variant>
      <vt:variant>
        <vt:lpwstr>http://www.rma.gov.au/investigations/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2019-04-17T02:42:00Z</dcterms:created>
  <dcterms:modified xsi:type="dcterms:W3CDTF">2019-04-17T02:42:00Z</dcterms:modified>
</cp:coreProperties>
</file>