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9D" w:rsidRDefault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78" w:rsidRDefault="008F4078" w:rsidP="00B56DFE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8F4078" w:rsidRDefault="008F4078" w:rsidP="00692237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8F4078" w:rsidRDefault="008F4078" w:rsidP="00692237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8F4078" w:rsidRPr="008F4078" w:rsidRDefault="008F4078" w:rsidP="00692237">
      <w:pPr>
        <w:spacing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 xml:space="preserve">The Repatriation Medical Authority (the Authority) gives notice under section 196G of the </w:t>
      </w:r>
      <w:r w:rsidRPr="008F4078">
        <w:rPr>
          <w:rFonts w:ascii="Times New Roman" w:hAnsi="Times New Roman"/>
          <w:i/>
        </w:rPr>
        <w:t>Veterans' Entitlements Act 1986</w:t>
      </w:r>
      <w:r w:rsidRPr="008F4078">
        <w:rPr>
          <w:rFonts w:ascii="Times New Roman" w:hAnsi="Times New Roman"/>
        </w:rPr>
        <w:t xml:space="preserve"> (the VEA) that it intends to carry out investigations under section 196B(7) of the VEA to review the contents of Statements of Principles concerning the following:</w:t>
      </w: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8F4078" w:rsidRPr="008F4078" w:rsidTr="008F4078">
        <w:trPr>
          <w:jc w:val="center"/>
        </w:trPr>
        <w:tc>
          <w:tcPr>
            <w:tcW w:w="4621" w:type="dxa"/>
          </w:tcPr>
          <w:p w:rsidR="008F4078" w:rsidRPr="008F4078" w:rsidRDefault="008F4078" w:rsidP="00692237">
            <w:pPr>
              <w:spacing w:after="120" w:line="240" w:lineRule="auto"/>
              <w:rPr>
                <w:b/>
              </w:rPr>
            </w:pPr>
            <w:bookmarkStart w:id="0" w:name="OLE_LINK3"/>
            <w:bookmarkStart w:id="1" w:name="OLE_LINK4"/>
            <w:r w:rsidRPr="008F4078">
              <w:rPr>
                <w:b/>
              </w:rPr>
              <w:t>Condition:</w:t>
            </w:r>
          </w:p>
        </w:tc>
        <w:tc>
          <w:tcPr>
            <w:tcW w:w="4621" w:type="dxa"/>
          </w:tcPr>
          <w:p w:rsidR="008F4078" w:rsidRPr="008F4078" w:rsidRDefault="008F4078" w:rsidP="00692237">
            <w:pPr>
              <w:spacing w:after="120" w:line="240" w:lineRule="auto"/>
              <w:rPr>
                <w:b/>
              </w:rPr>
            </w:pPr>
            <w:r w:rsidRPr="008F4078">
              <w:rPr>
                <w:b/>
              </w:rPr>
              <w:t>Instrument Nos.: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>rheumatoid arthritis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68 &amp; 69 of 2008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>personality disorder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70 &amp; 71 of 2008, as amended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 xml:space="preserve">immune </w:t>
            </w:r>
            <w:proofErr w:type="spellStart"/>
            <w:r w:rsidRPr="003846B1">
              <w:rPr>
                <w:color w:val="000000"/>
              </w:rPr>
              <w:t>thrombocytopaenic</w:t>
            </w:r>
            <w:proofErr w:type="spellEnd"/>
            <w:r w:rsidRPr="003846B1">
              <w:rPr>
                <w:color w:val="000000"/>
              </w:rPr>
              <w:t xml:space="preserve"> purpura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72 &amp; 73 of 2008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 xml:space="preserve">alcohol </w:t>
            </w:r>
            <w:r w:rsidR="00A620CA">
              <w:rPr>
                <w:color w:val="000000"/>
              </w:rPr>
              <w:t>use disorder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1 &amp; 2 of 2009, as amended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 xml:space="preserve">substance use disorder 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3 &amp; 4 of 2009, as amended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>accommodation disorder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5 &amp; 6 of 2009</w:t>
            </w:r>
          </w:p>
        </w:tc>
      </w:tr>
      <w:tr w:rsidR="003846B1" w:rsidRPr="008F4078" w:rsidTr="008F4078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proofErr w:type="spellStart"/>
            <w:r w:rsidRPr="003846B1">
              <w:rPr>
                <w:color w:val="000000"/>
              </w:rPr>
              <w:t>thromboangiitis</w:t>
            </w:r>
            <w:proofErr w:type="spellEnd"/>
            <w:r w:rsidRPr="003846B1">
              <w:rPr>
                <w:color w:val="000000"/>
              </w:rPr>
              <w:t xml:space="preserve"> obliterans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7 &amp; 8 of 2009</w:t>
            </w:r>
          </w:p>
        </w:tc>
      </w:tr>
      <w:tr w:rsidR="003846B1" w:rsidRPr="008F4078" w:rsidTr="00820809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>chilblains</w:t>
            </w:r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9 &amp; 10 of 2009</w:t>
            </w:r>
          </w:p>
        </w:tc>
      </w:tr>
      <w:tr w:rsidR="003846B1" w:rsidRPr="008F4078" w:rsidTr="00820809">
        <w:trPr>
          <w:jc w:val="center"/>
        </w:trPr>
        <w:tc>
          <w:tcPr>
            <w:tcW w:w="4621" w:type="dxa"/>
            <w:vAlign w:val="bottom"/>
          </w:tcPr>
          <w:p w:rsidR="003846B1" w:rsidRPr="003846B1" w:rsidRDefault="003846B1" w:rsidP="00692237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 w:rsidRPr="003846B1">
              <w:rPr>
                <w:color w:val="000000"/>
              </w:rPr>
              <w:t xml:space="preserve">cardiac </w:t>
            </w:r>
            <w:proofErr w:type="spellStart"/>
            <w:r w:rsidRPr="003846B1">
              <w:rPr>
                <w:color w:val="000000"/>
              </w:rPr>
              <w:t>myxoma</w:t>
            </w:r>
            <w:proofErr w:type="spellEnd"/>
          </w:p>
        </w:tc>
        <w:tc>
          <w:tcPr>
            <w:tcW w:w="4621" w:type="dxa"/>
          </w:tcPr>
          <w:p w:rsidR="003846B1" w:rsidRPr="008F4078" w:rsidRDefault="00692237" w:rsidP="00692237">
            <w:pPr>
              <w:spacing w:after="120" w:line="240" w:lineRule="auto"/>
            </w:pPr>
            <w:r>
              <w:t>11 &amp; 12 of 2009</w:t>
            </w:r>
          </w:p>
        </w:tc>
      </w:tr>
    </w:tbl>
    <w:bookmarkEnd w:id="0"/>
    <w:bookmarkEnd w:id="1"/>
    <w:p w:rsidR="008F4078" w:rsidRPr="008F4078" w:rsidRDefault="008F4078" w:rsidP="00692237">
      <w:pPr>
        <w:spacing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>The Authority invites the following persons and organisations to make written submissions to the Authority in respect of any of the investigations:</w:t>
      </w:r>
    </w:p>
    <w:p w:rsidR="008F4078" w:rsidRPr="008F4078" w:rsidRDefault="008F4078" w:rsidP="00A620CA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 xml:space="preserve">a person eligible to make a claim for pension under Part II or Part IV of the </w:t>
      </w:r>
      <w:r w:rsidRPr="008F4078">
        <w:rPr>
          <w:rFonts w:ascii="Times New Roman" w:hAnsi="Times New Roman"/>
          <w:i/>
        </w:rPr>
        <w:t>Veterans' Entitlements Act 1986</w:t>
      </w:r>
      <w:r w:rsidRPr="008F4078">
        <w:rPr>
          <w:rFonts w:ascii="Times New Roman" w:hAnsi="Times New Roman"/>
        </w:rPr>
        <w:t>;</w:t>
      </w:r>
    </w:p>
    <w:p w:rsidR="008F4078" w:rsidRPr="008F4078" w:rsidRDefault="008F4078" w:rsidP="00A620CA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 xml:space="preserve">a person eligible to make a claim for compensation under section 319 of the </w:t>
      </w:r>
      <w:r w:rsidRPr="008F4078">
        <w:rPr>
          <w:rFonts w:ascii="Times New Roman" w:hAnsi="Times New Roman"/>
          <w:i/>
        </w:rPr>
        <w:t>Military Rehabilitation and Compensation  Act 2004 (</w:t>
      </w:r>
      <w:r w:rsidRPr="008F4078">
        <w:rPr>
          <w:rFonts w:ascii="Times New Roman" w:hAnsi="Times New Roman"/>
        </w:rPr>
        <w:t>the MRCA);</w:t>
      </w:r>
    </w:p>
    <w:p w:rsidR="008F4078" w:rsidRPr="008F4078" w:rsidRDefault="008F4078" w:rsidP="00A620CA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8F4078" w:rsidRPr="008F4078" w:rsidRDefault="008F4078" w:rsidP="00A620CA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8F4078" w:rsidRPr="008F4078" w:rsidRDefault="008F4078" w:rsidP="001056A1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>a person having expertise in a field relevant to the investigation.</w:t>
      </w:r>
    </w:p>
    <w:p w:rsidR="00B56DFE" w:rsidRDefault="008F4078" w:rsidP="001056A1">
      <w:pPr>
        <w:spacing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 xml:space="preserve">The Authority will hold its first meeting for the purposes of each of these investigations </w:t>
      </w:r>
      <w:r w:rsidR="00692237">
        <w:rPr>
          <w:rFonts w:ascii="Times New Roman" w:hAnsi="Times New Roman"/>
        </w:rPr>
        <w:t>o</w:t>
      </w:r>
      <w:r w:rsidR="000C749A">
        <w:rPr>
          <w:rFonts w:ascii="Times New Roman" w:hAnsi="Times New Roman"/>
        </w:rPr>
        <w:t xml:space="preserve">n </w:t>
      </w:r>
      <w:r w:rsidR="00C71187" w:rsidRPr="00AE6622">
        <w:rPr>
          <w:rFonts w:ascii="Times New Roman" w:hAnsi="Times New Roman"/>
          <w:b/>
        </w:rPr>
        <w:t>11</w:t>
      </w:r>
      <w:r w:rsidR="00692237" w:rsidRPr="00AE6622">
        <w:rPr>
          <w:rFonts w:ascii="Times New Roman" w:hAnsi="Times New Roman"/>
          <w:b/>
        </w:rPr>
        <w:t> </w:t>
      </w:r>
      <w:r w:rsidR="00C71187" w:rsidRPr="00AE6622">
        <w:rPr>
          <w:rFonts w:ascii="Times New Roman" w:hAnsi="Times New Roman"/>
          <w:b/>
        </w:rPr>
        <w:t>October</w:t>
      </w:r>
      <w:r w:rsidR="00692237" w:rsidRPr="00AE6622">
        <w:rPr>
          <w:rFonts w:ascii="Times New Roman" w:hAnsi="Times New Roman"/>
          <w:b/>
        </w:rPr>
        <w:t> </w:t>
      </w:r>
      <w:r w:rsidR="00F64146" w:rsidRPr="00AE6622">
        <w:rPr>
          <w:rFonts w:ascii="Times New Roman" w:hAnsi="Times New Roman"/>
          <w:b/>
        </w:rPr>
        <w:t>2016</w:t>
      </w:r>
      <w:r w:rsidRPr="008F4078">
        <w:rPr>
          <w:rFonts w:ascii="Times New Roman" w:hAnsi="Times New Roman"/>
        </w:rPr>
        <w:t>.</w:t>
      </w:r>
    </w:p>
    <w:p w:rsidR="00A620CA" w:rsidRDefault="008F4078" w:rsidP="001056A1">
      <w:pPr>
        <w:spacing w:after="120" w:line="240" w:lineRule="auto"/>
        <w:jc w:val="both"/>
        <w:rPr>
          <w:rFonts w:ascii="Times New Roman" w:hAnsi="Times New Roman"/>
          <w:i/>
        </w:rPr>
      </w:pPr>
      <w:r w:rsidRPr="008F4078">
        <w:rPr>
          <w:rFonts w:ascii="Times New Roman" w:hAnsi="Times New Roman"/>
        </w:rPr>
        <w:t>Under the VEA, the Authority is required to fin</w:t>
      </w:r>
      <w:bookmarkStart w:id="2" w:name="_GoBack"/>
      <w:bookmarkEnd w:id="2"/>
      <w:r w:rsidRPr="008F4078">
        <w:rPr>
          <w:rFonts w:ascii="Times New Roman" w:hAnsi="Times New Roman"/>
        </w:rPr>
        <w:t xml:space="preserve">d out whether there is new information available about how the above listed conditions may be suffered or contracted, or death from the above listed conditions may occur; and the extent to which the above listed conditions or death from the above listed conditions may be war-caused, defence-caused, a service injury, a service disease or a service death. </w:t>
      </w:r>
      <w:r w:rsidR="00A620CA">
        <w:rPr>
          <w:rFonts w:ascii="Times New Roman" w:hAnsi="Times New Roman"/>
        </w:rPr>
        <w:t>Persons and organisations wishing to make a submission can use the RMA website [</w:t>
      </w:r>
      <w:r w:rsidR="00A620CA" w:rsidRPr="0011706C">
        <w:rPr>
          <w:rStyle w:val="Hyperlink"/>
        </w:rPr>
        <w:t>www.rma.gov.au/investigations/</w:t>
      </w:r>
      <w:r w:rsidR="00A620CA" w:rsidRPr="00CE09FA">
        <w:rPr>
          <w:rStyle w:val="Hyperlink"/>
          <w:color w:val="auto"/>
          <w:u w:val="none"/>
        </w:rPr>
        <w:t>]</w:t>
      </w:r>
      <w:r w:rsidR="00A620CA" w:rsidRPr="00350964">
        <w:rPr>
          <w:rFonts w:ascii="Times New Roman" w:hAnsi="Times New Roman"/>
        </w:rPr>
        <w:t xml:space="preserve"> to electronically</w:t>
      </w:r>
      <w:r w:rsidR="00A620CA">
        <w:rPr>
          <w:rFonts w:ascii="Times New Roman" w:hAnsi="Times New Roman"/>
          <w:i/>
        </w:rPr>
        <w:t xml:space="preserve"> </w:t>
      </w:r>
      <w:r w:rsidR="00A620CA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="00A620CA" w:rsidRPr="00875B7D">
          <w:rPr>
            <w:rStyle w:val="Hyperlink"/>
          </w:rPr>
          <w:t>info@rma.gov.au</w:t>
        </w:r>
      </w:hyperlink>
      <w:r w:rsidR="00A620CA">
        <w:rPr>
          <w:rFonts w:ascii="Times New Roman" w:hAnsi="Times New Roman"/>
        </w:rPr>
        <w:t xml:space="preserve"> or posted to the address below.  The </w:t>
      </w:r>
      <w:r w:rsidR="00A620CA">
        <w:rPr>
          <w:rFonts w:ascii="Times New Roman" w:hAnsi="Times New Roman"/>
          <w:i/>
        </w:rPr>
        <w:t>RMA Submission Guidelines</w:t>
      </w:r>
      <w:r w:rsidR="00A620CA">
        <w:rPr>
          <w:rFonts w:ascii="Times New Roman" w:hAnsi="Times New Roman"/>
        </w:rPr>
        <w:t xml:space="preserve"> are available online for guidance.  The</w:t>
      </w:r>
      <w:r w:rsidR="00A620CA">
        <w:rPr>
          <w:rFonts w:ascii="Times New Roman" w:hAnsi="Times New Roman"/>
          <w:i/>
        </w:rPr>
        <w:t xml:space="preserve"> </w:t>
      </w:r>
      <w:r w:rsidR="00A620CA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8F4078" w:rsidRPr="008F4078" w:rsidRDefault="008F4078" w:rsidP="001056A1">
      <w:pPr>
        <w:keepNext/>
        <w:spacing w:after="240" w:line="240" w:lineRule="auto"/>
        <w:jc w:val="both"/>
        <w:rPr>
          <w:rFonts w:ascii="Times New Roman" w:hAnsi="Times New Roman"/>
          <w:b/>
        </w:rPr>
      </w:pPr>
      <w:r w:rsidRPr="008F4078">
        <w:rPr>
          <w:rFonts w:ascii="Times New Roman" w:hAnsi="Times New Roman"/>
        </w:rPr>
        <w:lastRenderedPageBreak/>
        <w:t xml:space="preserve">All submissions must be in writing and received by the Authority at the address below no later than </w:t>
      </w:r>
      <w:r w:rsidR="00C71187">
        <w:rPr>
          <w:rFonts w:ascii="Times New Roman" w:hAnsi="Times New Roman"/>
          <w:b/>
        </w:rPr>
        <w:t>23</w:t>
      </w:r>
      <w:r w:rsidRPr="000317D5">
        <w:rPr>
          <w:rFonts w:ascii="Times New Roman" w:hAnsi="Times New Roman"/>
          <w:b/>
        </w:rPr>
        <w:t> </w:t>
      </w:r>
      <w:r w:rsidR="00C71187">
        <w:rPr>
          <w:rFonts w:ascii="Times New Roman" w:hAnsi="Times New Roman"/>
          <w:b/>
        </w:rPr>
        <w:t>September</w:t>
      </w:r>
      <w:r w:rsidR="000317D5">
        <w:rPr>
          <w:rFonts w:ascii="Times New Roman" w:hAnsi="Times New Roman"/>
          <w:b/>
        </w:rPr>
        <w:t> </w:t>
      </w:r>
      <w:r w:rsidRPr="008F4078">
        <w:rPr>
          <w:rFonts w:ascii="Times New Roman" w:hAnsi="Times New Roman"/>
          <w:b/>
        </w:rPr>
        <w:t>201</w:t>
      </w:r>
      <w:r w:rsidR="00F64146">
        <w:rPr>
          <w:rFonts w:ascii="Times New Roman" w:hAnsi="Times New Roman"/>
          <w:b/>
        </w:rPr>
        <w:t>6</w:t>
      </w:r>
      <w:r w:rsidRPr="008F4078">
        <w:rPr>
          <w:rFonts w:ascii="Times New Roman" w:hAnsi="Times New Roman"/>
          <w:b/>
        </w:rPr>
        <w:t>.</w:t>
      </w:r>
    </w:p>
    <w:p w:rsidR="008F3BA4" w:rsidRDefault="008F3BA4" w:rsidP="008F3BA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3120C7D" wp14:editId="0675D56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8F3BA4" w:rsidRDefault="008F3BA4" w:rsidP="008F3BA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8F3BA4" w:rsidRDefault="008F3BA4" w:rsidP="008F3BA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8F3BA4" w:rsidRDefault="008F3BA4" w:rsidP="008F3BA4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8F4078" w:rsidRPr="001056A1" w:rsidRDefault="008F3BA4" w:rsidP="008F3BA4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22 / 4 /2016</w:t>
      </w:r>
    </w:p>
    <w:sectPr w:rsidR="008F4078" w:rsidRPr="001056A1" w:rsidSect="00692237">
      <w:headerReference w:type="first" r:id="rId9"/>
      <w:footerReference w:type="first" r:id="rId10"/>
      <w:type w:val="continuous"/>
      <w:pgSz w:w="11906" w:h="16838" w:code="9"/>
      <w:pgMar w:top="1134" w:right="1134" w:bottom="993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9A" w:rsidRDefault="000C749A">
      <w:pPr>
        <w:spacing w:after="0" w:line="240" w:lineRule="auto"/>
      </w:pPr>
      <w:r>
        <w:separator/>
      </w:r>
    </w:p>
  </w:endnote>
  <w:endnote w:type="continuationSeparator" w:id="0">
    <w:p w:rsidR="000C749A" w:rsidRDefault="000C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9A" w:rsidRDefault="000C749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C749A" w:rsidRDefault="000C749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C749A" w:rsidRDefault="00A620CA" w:rsidP="00A620C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9A" w:rsidRDefault="000C749A">
      <w:pPr>
        <w:spacing w:after="0" w:line="240" w:lineRule="auto"/>
      </w:pPr>
      <w:r>
        <w:separator/>
      </w:r>
    </w:p>
  </w:footnote>
  <w:footnote w:type="continuationSeparator" w:id="0">
    <w:p w:rsidR="000C749A" w:rsidRDefault="000C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C74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C749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C749A" w:rsidRDefault="000C749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C749A" w:rsidRDefault="000C749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0C749A" w:rsidRDefault="000C749A">
    <w:pPr>
      <w:pStyle w:val="Header"/>
      <w:rPr>
        <w:sz w:val="2"/>
        <w:szCs w:val="2"/>
      </w:rPr>
    </w:pPr>
  </w:p>
  <w:p w:rsidR="000C749A" w:rsidRDefault="000C749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78"/>
    <w:rsid w:val="000317D5"/>
    <w:rsid w:val="000C749A"/>
    <w:rsid w:val="001056A1"/>
    <w:rsid w:val="002B0BD3"/>
    <w:rsid w:val="00361DB5"/>
    <w:rsid w:val="003846B1"/>
    <w:rsid w:val="003F0EE1"/>
    <w:rsid w:val="00692237"/>
    <w:rsid w:val="008F3BA4"/>
    <w:rsid w:val="008F4078"/>
    <w:rsid w:val="009341B9"/>
    <w:rsid w:val="009A0F87"/>
    <w:rsid w:val="00A620CA"/>
    <w:rsid w:val="00AE6622"/>
    <w:rsid w:val="00B56DFE"/>
    <w:rsid w:val="00B939D4"/>
    <w:rsid w:val="00C71187"/>
    <w:rsid w:val="00CE09FA"/>
    <w:rsid w:val="00EC319D"/>
    <w:rsid w:val="00EF0818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F407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F4078"/>
    <w:rPr>
      <w:rFonts w:ascii="Times New Roman" w:eastAsia="Times New Roman" w:hAnsi="Times New Roman"/>
      <w:b/>
      <w:sz w:val="28"/>
    </w:rPr>
  </w:style>
  <w:style w:type="table" w:styleId="TableGrid">
    <w:name w:val="Table Grid"/>
    <w:basedOn w:val="TableNormal"/>
    <w:locked/>
    <w:rsid w:val="008F4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20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2016-04-19T03:06:00Z</dcterms:created>
  <dcterms:modified xsi:type="dcterms:W3CDTF">2016-04-19T06:30:00Z</dcterms:modified>
</cp:coreProperties>
</file>