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19D" w:rsidRDefault="008F4078">
      <w:pPr>
        <w:spacing w:after="120" w:line="240" w:lineRule="auto"/>
        <w:jc w:val="center"/>
        <w:outlineLvl w:val="0"/>
        <w:rPr>
          <w:rFonts w:ascii="Times New Roman" w:hAnsi="Times New Roman"/>
          <w:b/>
        </w:rPr>
      </w:pPr>
      <w:bookmarkStart w:id="0" w:name="_GoBack"/>
      <w:bookmarkEnd w:id="0"/>
      <w:r>
        <w:rPr>
          <w:noProof/>
          <w:lang w:eastAsia="en-AU"/>
        </w:rPr>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F4078" w:rsidRDefault="008F4078" w:rsidP="008F4078">
      <w:pPr>
        <w:spacing w:after="120" w:line="240" w:lineRule="auto"/>
        <w:jc w:val="center"/>
        <w:outlineLvl w:val="0"/>
        <w:rPr>
          <w:rFonts w:ascii="Times New Roman" w:hAnsi="Times New Roman"/>
          <w:b/>
        </w:rPr>
      </w:pPr>
      <w:r>
        <w:rPr>
          <w:rFonts w:ascii="Times New Roman" w:hAnsi="Times New Roman"/>
          <w:b/>
        </w:rPr>
        <w:t>NOTICE OF INVESTIGATION</w:t>
      </w:r>
    </w:p>
    <w:p w:rsidR="008F4078" w:rsidRDefault="008F4078" w:rsidP="008F4078">
      <w:pPr>
        <w:spacing w:after="120" w:line="240" w:lineRule="auto"/>
        <w:jc w:val="center"/>
        <w:outlineLvl w:val="0"/>
        <w:rPr>
          <w:rFonts w:ascii="Times New Roman" w:hAnsi="Times New Roman"/>
          <w:b/>
        </w:rPr>
      </w:pPr>
      <w:r>
        <w:rPr>
          <w:rFonts w:ascii="Times New Roman" w:hAnsi="Times New Roman"/>
          <w:b/>
        </w:rPr>
        <w:t>Section 196G of the</w:t>
      </w:r>
    </w:p>
    <w:p w:rsidR="008F4078" w:rsidRDefault="008F4078" w:rsidP="008F4078">
      <w:pPr>
        <w:spacing w:after="120" w:line="240" w:lineRule="auto"/>
        <w:jc w:val="center"/>
        <w:outlineLvl w:val="0"/>
        <w:rPr>
          <w:rFonts w:ascii="Times New Roman" w:hAnsi="Times New Roman"/>
          <w:b/>
        </w:rPr>
      </w:pPr>
      <w:r>
        <w:rPr>
          <w:rFonts w:ascii="Times New Roman" w:hAnsi="Times New Roman"/>
          <w:i/>
        </w:rPr>
        <w:t>Veterans' Entitlements Act 1986</w:t>
      </w:r>
    </w:p>
    <w:p w:rsidR="008F4078" w:rsidRPr="008F4078" w:rsidRDefault="008F4078" w:rsidP="008F4078">
      <w:pPr>
        <w:spacing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621"/>
        <w:gridCol w:w="4621"/>
      </w:tblGrid>
      <w:tr w:rsidR="008F4078" w:rsidRPr="008F4078" w:rsidTr="008F4078">
        <w:trPr>
          <w:jc w:val="center"/>
        </w:trPr>
        <w:tc>
          <w:tcPr>
            <w:tcW w:w="4621" w:type="dxa"/>
          </w:tcPr>
          <w:p w:rsidR="008F4078" w:rsidRPr="008F4078" w:rsidRDefault="008F4078" w:rsidP="008F4078">
            <w:pPr>
              <w:spacing w:after="0" w:line="240" w:lineRule="auto"/>
              <w:rPr>
                <w:b/>
              </w:rPr>
            </w:pPr>
            <w:bookmarkStart w:id="1" w:name="OLE_LINK3"/>
            <w:bookmarkStart w:id="2" w:name="OLE_LINK4"/>
            <w:r w:rsidRPr="008F4078">
              <w:rPr>
                <w:b/>
              </w:rPr>
              <w:t>Condition:</w:t>
            </w:r>
          </w:p>
        </w:tc>
        <w:tc>
          <w:tcPr>
            <w:tcW w:w="4621" w:type="dxa"/>
          </w:tcPr>
          <w:p w:rsidR="008F4078" w:rsidRPr="008F4078" w:rsidRDefault="008F4078" w:rsidP="008F4078">
            <w:pPr>
              <w:spacing w:after="0" w:line="240" w:lineRule="auto"/>
              <w:rPr>
                <w:b/>
              </w:rPr>
            </w:pPr>
            <w:r w:rsidRPr="008F4078">
              <w:rPr>
                <w:b/>
              </w:rPr>
              <w:t>Instrument Nos.:</w:t>
            </w:r>
          </w:p>
        </w:tc>
      </w:tr>
      <w:tr w:rsidR="008F4078" w:rsidRPr="008F4078" w:rsidTr="008F4078">
        <w:trPr>
          <w:jc w:val="center"/>
        </w:trPr>
        <w:tc>
          <w:tcPr>
            <w:tcW w:w="4621" w:type="dxa"/>
            <w:vAlign w:val="bottom"/>
          </w:tcPr>
          <w:p w:rsidR="008F4078" w:rsidRPr="008F4078" w:rsidRDefault="008F4078" w:rsidP="008F4078">
            <w:pPr>
              <w:spacing w:after="0" w:line="240" w:lineRule="auto"/>
              <w:rPr>
                <w:highlight w:val="yellow"/>
              </w:rPr>
            </w:pPr>
            <w:r w:rsidRPr="008F4078">
              <w:t>cirrhosis of the liver</w:t>
            </w:r>
          </w:p>
        </w:tc>
        <w:tc>
          <w:tcPr>
            <w:tcW w:w="4621" w:type="dxa"/>
          </w:tcPr>
          <w:p w:rsidR="008F4078" w:rsidRPr="008F4078" w:rsidRDefault="008F4078" w:rsidP="008F4078">
            <w:pPr>
              <w:spacing w:after="0" w:line="240" w:lineRule="auto"/>
            </w:pPr>
            <w:r w:rsidRPr="008F4078">
              <w:t>107 &amp; 108 of 2007, as amended</w:t>
            </w:r>
          </w:p>
        </w:tc>
      </w:tr>
      <w:tr w:rsidR="008F4078" w:rsidRPr="008F4078" w:rsidTr="008F4078">
        <w:trPr>
          <w:jc w:val="center"/>
        </w:trPr>
        <w:tc>
          <w:tcPr>
            <w:tcW w:w="4621" w:type="dxa"/>
            <w:vAlign w:val="bottom"/>
          </w:tcPr>
          <w:p w:rsidR="008F4078" w:rsidRPr="008F4078" w:rsidRDefault="008F4078" w:rsidP="008F4078">
            <w:pPr>
              <w:spacing w:after="0" w:line="240" w:lineRule="auto"/>
            </w:pPr>
            <w:r w:rsidRPr="008F4078">
              <w:t>external bruise</w:t>
            </w:r>
          </w:p>
        </w:tc>
        <w:tc>
          <w:tcPr>
            <w:tcW w:w="4621" w:type="dxa"/>
          </w:tcPr>
          <w:p w:rsidR="008F4078" w:rsidRPr="008F4078" w:rsidRDefault="008F4078" w:rsidP="008F4078">
            <w:pPr>
              <w:spacing w:after="0" w:line="240" w:lineRule="auto"/>
            </w:pPr>
            <w:r w:rsidRPr="008F4078">
              <w:t>109 &amp; 110 of 2007</w:t>
            </w:r>
          </w:p>
        </w:tc>
      </w:tr>
      <w:tr w:rsidR="008F4078" w:rsidRPr="008F4078" w:rsidTr="008F4078">
        <w:trPr>
          <w:jc w:val="center"/>
        </w:trPr>
        <w:tc>
          <w:tcPr>
            <w:tcW w:w="4621" w:type="dxa"/>
            <w:vAlign w:val="bottom"/>
          </w:tcPr>
          <w:p w:rsidR="008F4078" w:rsidRPr="008F4078" w:rsidRDefault="008F4078" w:rsidP="008F4078">
            <w:pPr>
              <w:spacing w:after="0" w:line="240" w:lineRule="auto"/>
            </w:pPr>
            <w:proofErr w:type="spellStart"/>
            <w:r w:rsidRPr="008F4078">
              <w:t>opisthorchiasis</w:t>
            </w:r>
            <w:proofErr w:type="spellEnd"/>
          </w:p>
        </w:tc>
        <w:tc>
          <w:tcPr>
            <w:tcW w:w="4621" w:type="dxa"/>
          </w:tcPr>
          <w:p w:rsidR="008F4078" w:rsidRPr="008F4078" w:rsidRDefault="008F4078" w:rsidP="008F4078">
            <w:pPr>
              <w:spacing w:after="0" w:line="240" w:lineRule="auto"/>
            </w:pPr>
            <w:r w:rsidRPr="008F4078">
              <w:t>111 &amp; 112 of 2007</w:t>
            </w:r>
          </w:p>
        </w:tc>
      </w:tr>
      <w:tr w:rsidR="008F4078" w:rsidRPr="008F4078" w:rsidTr="008F4078">
        <w:trPr>
          <w:jc w:val="center"/>
        </w:trPr>
        <w:tc>
          <w:tcPr>
            <w:tcW w:w="4621" w:type="dxa"/>
            <w:vAlign w:val="bottom"/>
          </w:tcPr>
          <w:p w:rsidR="008F4078" w:rsidRPr="008F4078" w:rsidRDefault="008F4078" w:rsidP="008F4078">
            <w:pPr>
              <w:spacing w:after="0" w:line="240" w:lineRule="auto"/>
            </w:pPr>
            <w:proofErr w:type="spellStart"/>
            <w:r w:rsidRPr="008F4078">
              <w:t>clonorchiasis</w:t>
            </w:r>
            <w:proofErr w:type="spellEnd"/>
          </w:p>
        </w:tc>
        <w:tc>
          <w:tcPr>
            <w:tcW w:w="4621" w:type="dxa"/>
          </w:tcPr>
          <w:p w:rsidR="008F4078" w:rsidRPr="008F4078" w:rsidRDefault="008F4078" w:rsidP="008F4078">
            <w:pPr>
              <w:spacing w:after="0" w:line="240" w:lineRule="auto"/>
            </w:pPr>
            <w:r w:rsidRPr="008F4078">
              <w:t>113 &amp; 114 of 2007</w:t>
            </w:r>
          </w:p>
        </w:tc>
      </w:tr>
      <w:tr w:rsidR="008F4078" w:rsidRPr="008F4078" w:rsidTr="008F4078">
        <w:trPr>
          <w:jc w:val="center"/>
        </w:trPr>
        <w:tc>
          <w:tcPr>
            <w:tcW w:w="4621" w:type="dxa"/>
            <w:vAlign w:val="bottom"/>
          </w:tcPr>
          <w:p w:rsidR="008F4078" w:rsidRPr="008F4078" w:rsidRDefault="008F4078" w:rsidP="008F4078">
            <w:pPr>
              <w:spacing w:after="0" w:line="240" w:lineRule="auto"/>
            </w:pPr>
            <w:r w:rsidRPr="008F4078">
              <w:t>sarcoidosis</w:t>
            </w:r>
          </w:p>
        </w:tc>
        <w:tc>
          <w:tcPr>
            <w:tcW w:w="4621" w:type="dxa"/>
          </w:tcPr>
          <w:p w:rsidR="008F4078" w:rsidRPr="008F4078" w:rsidRDefault="008F4078" w:rsidP="008F4078">
            <w:pPr>
              <w:spacing w:after="0" w:line="240" w:lineRule="auto"/>
            </w:pPr>
            <w:r w:rsidRPr="008F4078">
              <w:t>115 &amp; 116 of 2007</w:t>
            </w:r>
          </w:p>
        </w:tc>
      </w:tr>
      <w:tr w:rsidR="008F4078" w:rsidRPr="008F4078" w:rsidTr="008F4078">
        <w:trPr>
          <w:jc w:val="center"/>
        </w:trPr>
        <w:tc>
          <w:tcPr>
            <w:tcW w:w="4621" w:type="dxa"/>
            <w:vAlign w:val="bottom"/>
          </w:tcPr>
          <w:p w:rsidR="008F4078" w:rsidRPr="008F4078" w:rsidRDefault="008F4078" w:rsidP="008F4078">
            <w:pPr>
              <w:spacing w:after="0" w:line="240" w:lineRule="auto"/>
            </w:pPr>
            <w:r w:rsidRPr="008F4078">
              <w:t>presbyopia</w:t>
            </w:r>
          </w:p>
        </w:tc>
        <w:tc>
          <w:tcPr>
            <w:tcW w:w="4621" w:type="dxa"/>
          </w:tcPr>
          <w:p w:rsidR="008F4078" w:rsidRPr="008F4078" w:rsidRDefault="008F4078" w:rsidP="008F4078">
            <w:pPr>
              <w:spacing w:after="0" w:line="240" w:lineRule="auto"/>
            </w:pPr>
            <w:r w:rsidRPr="008F4078">
              <w:t>117 &amp; 118 of 2007</w:t>
            </w:r>
          </w:p>
        </w:tc>
      </w:tr>
      <w:tr w:rsidR="008F4078" w:rsidRPr="008F4078" w:rsidTr="008F4078">
        <w:trPr>
          <w:jc w:val="center"/>
        </w:trPr>
        <w:tc>
          <w:tcPr>
            <w:tcW w:w="4621" w:type="dxa"/>
            <w:vAlign w:val="bottom"/>
          </w:tcPr>
          <w:p w:rsidR="008F4078" w:rsidRPr="008F4078" w:rsidRDefault="008F4078" w:rsidP="008F4078">
            <w:pPr>
              <w:spacing w:after="0" w:line="240" w:lineRule="auto"/>
            </w:pPr>
            <w:proofErr w:type="spellStart"/>
            <w:r w:rsidRPr="008F4078">
              <w:t>otosclerosis</w:t>
            </w:r>
            <w:proofErr w:type="spellEnd"/>
          </w:p>
        </w:tc>
        <w:tc>
          <w:tcPr>
            <w:tcW w:w="4621" w:type="dxa"/>
          </w:tcPr>
          <w:p w:rsidR="008F4078" w:rsidRPr="008F4078" w:rsidRDefault="008F4078" w:rsidP="008F4078">
            <w:pPr>
              <w:spacing w:after="0" w:line="240" w:lineRule="auto"/>
            </w:pPr>
            <w:r w:rsidRPr="008F4078">
              <w:t>119 &amp; 120 of 2007</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r w:rsidRPr="008F4078">
              <w:rPr>
                <w:color w:val="000000"/>
              </w:rPr>
              <w:t>malignant neoplasm of the urethra</w:t>
            </w:r>
          </w:p>
        </w:tc>
        <w:tc>
          <w:tcPr>
            <w:tcW w:w="4621" w:type="dxa"/>
          </w:tcPr>
          <w:p w:rsidR="008F4078" w:rsidRPr="008F4078" w:rsidRDefault="008F4078" w:rsidP="008F4078">
            <w:pPr>
              <w:spacing w:after="0" w:line="240" w:lineRule="auto"/>
            </w:pPr>
            <w:r w:rsidRPr="008F4078">
              <w:t>1 of 2008, as amended</w:t>
            </w:r>
            <w:r w:rsidR="000C749A">
              <w:t>,</w:t>
            </w:r>
            <w:r w:rsidRPr="008F4078">
              <w:t xml:space="preserve"> &amp; 2 of 2008</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r w:rsidRPr="008F4078">
              <w:rPr>
                <w:color w:val="000000"/>
              </w:rPr>
              <w:t>cut, stab, abrasion and laceration</w:t>
            </w:r>
          </w:p>
        </w:tc>
        <w:tc>
          <w:tcPr>
            <w:tcW w:w="4621" w:type="dxa"/>
          </w:tcPr>
          <w:p w:rsidR="008F4078" w:rsidRPr="008F4078" w:rsidRDefault="008F4078" w:rsidP="008F4078">
            <w:pPr>
              <w:spacing w:after="0" w:line="240" w:lineRule="auto"/>
            </w:pPr>
            <w:r w:rsidRPr="008F4078">
              <w:t>3 of 2008 &amp; 4 of 2008, as amended</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proofErr w:type="spellStart"/>
            <w:r w:rsidRPr="008F4078">
              <w:rPr>
                <w:color w:val="000000"/>
              </w:rPr>
              <w:t>cholelithiasis</w:t>
            </w:r>
            <w:proofErr w:type="spellEnd"/>
          </w:p>
        </w:tc>
        <w:tc>
          <w:tcPr>
            <w:tcW w:w="4621" w:type="dxa"/>
          </w:tcPr>
          <w:p w:rsidR="008F4078" w:rsidRPr="008F4078" w:rsidRDefault="008F4078" w:rsidP="008F4078">
            <w:pPr>
              <w:spacing w:after="0" w:line="240" w:lineRule="auto"/>
            </w:pPr>
            <w:r w:rsidRPr="008F4078">
              <w:t>7 &amp; 8 of 2008</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r w:rsidRPr="008F4078">
              <w:rPr>
                <w:color w:val="000000"/>
              </w:rPr>
              <w:t>diverticular disease of the colon</w:t>
            </w:r>
          </w:p>
        </w:tc>
        <w:tc>
          <w:tcPr>
            <w:tcW w:w="4621" w:type="dxa"/>
          </w:tcPr>
          <w:p w:rsidR="008F4078" w:rsidRPr="008F4078" w:rsidRDefault="008F4078" w:rsidP="008F4078">
            <w:pPr>
              <w:spacing w:after="0" w:line="240" w:lineRule="auto"/>
            </w:pPr>
            <w:r w:rsidRPr="008F4078">
              <w:t>13 of 2008, as amended</w:t>
            </w:r>
            <w:r w:rsidR="000C749A">
              <w:t>,</w:t>
            </w:r>
            <w:r w:rsidRPr="008F4078">
              <w:t xml:space="preserve"> &amp; 14 of 2008</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r w:rsidRPr="008F4078">
              <w:rPr>
                <w:color w:val="000000"/>
              </w:rPr>
              <w:t>benign prostatic hyperplasia</w:t>
            </w:r>
          </w:p>
        </w:tc>
        <w:tc>
          <w:tcPr>
            <w:tcW w:w="4621" w:type="dxa"/>
          </w:tcPr>
          <w:p w:rsidR="008F4078" w:rsidRPr="008F4078" w:rsidRDefault="008F4078" w:rsidP="008F4078">
            <w:pPr>
              <w:spacing w:after="0" w:line="240" w:lineRule="auto"/>
            </w:pPr>
            <w:r w:rsidRPr="008F4078">
              <w:t>19 &amp; 20 of 2008</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r w:rsidRPr="008F4078">
              <w:rPr>
                <w:color w:val="000000"/>
              </w:rPr>
              <w:t>spasmodic torticollis</w:t>
            </w:r>
          </w:p>
        </w:tc>
        <w:tc>
          <w:tcPr>
            <w:tcW w:w="4621" w:type="dxa"/>
          </w:tcPr>
          <w:p w:rsidR="008F4078" w:rsidRPr="008F4078" w:rsidRDefault="008F4078" w:rsidP="008F4078">
            <w:pPr>
              <w:spacing w:after="0" w:line="240" w:lineRule="auto"/>
            </w:pPr>
            <w:r w:rsidRPr="008F4078">
              <w:t>21 &amp; 22 of 2008</w:t>
            </w:r>
          </w:p>
        </w:tc>
      </w:tr>
      <w:tr w:rsidR="008F4078" w:rsidRPr="008F4078" w:rsidTr="008F4078">
        <w:trPr>
          <w:jc w:val="center"/>
        </w:trPr>
        <w:tc>
          <w:tcPr>
            <w:tcW w:w="4621" w:type="dxa"/>
          </w:tcPr>
          <w:p w:rsidR="008F4078" w:rsidRPr="008F4078" w:rsidRDefault="008F4078" w:rsidP="008F4078">
            <w:pPr>
              <w:autoSpaceDE w:val="0"/>
              <w:autoSpaceDN w:val="0"/>
              <w:adjustRightInd w:val="0"/>
              <w:spacing w:after="0" w:line="240" w:lineRule="auto"/>
              <w:rPr>
                <w:color w:val="000000"/>
              </w:rPr>
            </w:pPr>
            <w:r w:rsidRPr="008F4078">
              <w:rPr>
                <w:color w:val="000000"/>
              </w:rPr>
              <w:t xml:space="preserve">polymyalgia </w:t>
            </w:r>
            <w:proofErr w:type="spellStart"/>
            <w:r w:rsidRPr="008F4078">
              <w:rPr>
                <w:color w:val="000000"/>
              </w:rPr>
              <w:t>rheumatica</w:t>
            </w:r>
            <w:proofErr w:type="spellEnd"/>
          </w:p>
        </w:tc>
        <w:tc>
          <w:tcPr>
            <w:tcW w:w="4621" w:type="dxa"/>
          </w:tcPr>
          <w:p w:rsidR="008F4078" w:rsidRPr="008F4078" w:rsidRDefault="008F4078" w:rsidP="008F4078">
            <w:pPr>
              <w:spacing w:after="0" w:line="240" w:lineRule="auto"/>
            </w:pPr>
            <w:r w:rsidRPr="008F4078">
              <w:t>23 &amp; 24 of 2008</w:t>
            </w:r>
          </w:p>
        </w:tc>
      </w:tr>
      <w:tr w:rsidR="009A0F87" w:rsidRPr="008F4078" w:rsidTr="008F4078">
        <w:trPr>
          <w:jc w:val="center"/>
        </w:trPr>
        <w:tc>
          <w:tcPr>
            <w:tcW w:w="4621" w:type="dxa"/>
          </w:tcPr>
          <w:p w:rsidR="009A0F87" w:rsidRPr="008F4078" w:rsidRDefault="009A0F87" w:rsidP="008F4078">
            <w:pPr>
              <w:autoSpaceDE w:val="0"/>
              <w:autoSpaceDN w:val="0"/>
              <w:adjustRightInd w:val="0"/>
              <w:spacing w:after="0" w:line="240" w:lineRule="auto"/>
              <w:rPr>
                <w:color w:val="000000"/>
              </w:rPr>
            </w:pPr>
            <w:proofErr w:type="spellStart"/>
            <w:r>
              <w:rPr>
                <w:color w:val="000000"/>
              </w:rPr>
              <w:t>ascariasis</w:t>
            </w:r>
            <w:proofErr w:type="spellEnd"/>
          </w:p>
        </w:tc>
        <w:tc>
          <w:tcPr>
            <w:tcW w:w="4621" w:type="dxa"/>
          </w:tcPr>
          <w:p w:rsidR="009A0F87" w:rsidRPr="008F4078" w:rsidRDefault="009A0F87" w:rsidP="008F4078">
            <w:pPr>
              <w:spacing w:after="0" w:line="240" w:lineRule="auto"/>
            </w:pPr>
            <w:r>
              <w:t>62 &amp; 63 of 2008</w:t>
            </w:r>
          </w:p>
        </w:tc>
      </w:tr>
      <w:tr w:rsidR="009A0F87" w:rsidRPr="008F4078" w:rsidTr="008F4078">
        <w:trPr>
          <w:jc w:val="center"/>
        </w:trPr>
        <w:tc>
          <w:tcPr>
            <w:tcW w:w="4621" w:type="dxa"/>
          </w:tcPr>
          <w:p w:rsidR="009A0F87" w:rsidRPr="008F4078" w:rsidRDefault="009A0F87" w:rsidP="008F4078">
            <w:pPr>
              <w:autoSpaceDE w:val="0"/>
              <w:autoSpaceDN w:val="0"/>
              <w:adjustRightInd w:val="0"/>
              <w:spacing w:after="0" w:line="240" w:lineRule="auto"/>
              <w:rPr>
                <w:color w:val="000000"/>
              </w:rPr>
            </w:pPr>
            <w:r>
              <w:rPr>
                <w:color w:val="000000"/>
              </w:rPr>
              <w:t>hookworm disease</w:t>
            </w:r>
          </w:p>
        </w:tc>
        <w:tc>
          <w:tcPr>
            <w:tcW w:w="4621" w:type="dxa"/>
          </w:tcPr>
          <w:p w:rsidR="009A0F87" w:rsidRPr="008F4078" w:rsidRDefault="009A0F87" w:rsidP="008F4078">
            <w:pPr>
              <w:spacing w:after="0" w:line="240" w:lineRule="auto"/>
            </w:pPr>
            <w:r>
              <w:t>64 &amp; 65 of 2008</w:t>
            </w:r>
          </w:p>
        </w:tc>
      </w:tr>
    </w:tbl>
    <w:bookmarkEnd w:id="1"/>
    <w:bookmarkEnd w:id="2"/>
    <w:p w:rsidR="008F4078" w:rsidRPr="008F4078" w:rsidRDefault="008F4078" w:rsidP="008F4078">
      <w:pPr>
        <w:spacing w:before="24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8F4078" w:rsidRPr="008F4078" w:rsidRDefault="008F4078" w:rsidP="008F4078">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 xml:space="preserve">a person eligible to make a claim for pension under Part II or Part IV of the </w:t>
      </w:r>
      <w:r w:rsidRPr="008F4078">
        <w:rPr>
          <w:rFonts w:ascii="Times New Roman" w:hAnsi="Times New Roman"/>
          <w:i/>
        </w:rPr>
        <w:t>Veterans' Entitlements Act 1986</w:t>
      </w:r>
      <w:r w:rsidRPr="008F4078">
        <w:rPr>
          <w:rFonts w:ascii="Times New Roman" w:hAnsi="Times New Roman"/>
        </w:rPr>
        <w:t>;</w:t>
      </w:r>
    </w:p>
    <w:p w:rsidR="008F4078" w:rsidRPr="008F4078" w:rsidRDefault="008F4078" w:rsidP="008F4078">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 xml:space="preserve">a person eligible to make a claim for compensation under section 319 of the </w:t>
      </w:r>
      <w:r w:rsidRPr="008F4078">
        <w:rPr>
          <w:rFonts w:ascii="Times New Roman" w:hAnsi="Times New Roman"/>
          <w:i/>
        </w:rPr>
        <w:t>Military Rehabilitation and Compensation  Act 2004 (</w:t>
      </w:r>
      <w:r w:rsidRPr="008F4078">
        <w:rPr>
          <w:rFonts w:ascii="Times New Roman" w:hAnsi="Times New Roman"/>
        </w:rPr>
        <w:t>the MRCA);</w:t>
      </w:r>
    </w:p>
    <w:p w:rsidR="008F4078" w:rsidRPr="008F4078" w:rsidRDefault="008F4078" w:rsidP="008F4078">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an organisation representing veterans, Australian mariners, members of the Forces, members of the Peacekeeping Forces, members within the meaning of the MRCA, or their dependants;</w:t>
      </w:r>
    </w:p>
    <w:p w:rsidR="008F4078" w:rsidRPr="008F4078" w:rsidRDefault="008F4078" w:rsidP="008F4078">
      <w:pPr>
        <w:spacing w:after="12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the Repatriation Commission or the Military Rehabilitation and Compensation Commission; and</w:t>
      </w:r>
    </w:p>
    <w:p w:rsidR="008F4078" w:rsidRPr="008F4078" w:rsidRDefault="008F4078" w:rsidP="008F4078">
      <w:pPr>
        <w:spacing w:after="120" w:line="240" w:lineRule="auto"/>
        <w:ind w:left="717" w:hanging="360"/>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t>a person having expertise in a field relevant to the investigation.</w:t>
      </w:r>
    </w:p>
    <w:p w:rsidR="000C749A" w:rsidRDefault="000C749A" w:rsidP="008F4078">
      <w:pPr>
        <w:spacing w:before="120" w:line="240" w:lineRule="auto"/>
        <w:jc w:val="both"/>
        <w:rPr>
          <w:rFonts w:ascii="Times New Roman" w:hAnsi="Times New Roman"/>
        </w:rPr>
      </w:pPr>
    </w:p>
    <w:p w:rsidR="008F4078" w:rsidRPr="008F4078" w:rsidRDefault="008F4078" w:rsidP="008F4078">
      <w:pPr>
        <w:spacing w:before="120" w:line="240" w:lineRule="auto"/>
        <w:jc w:val="both"/>
        <w:rPr>
          <w:rFonts w:ascii="Times New Roman" w:hAnsi="Times New Roman"/>
        </w:rPr>
      </w:pPr>
      <w:r w:rsidRPr="008F4078">
        <w:rPr>
          <w:rFonts w:ascii="Times New Roman" w:hAnsi="Times New Roman"/>
        </w:rPr>
        <w:t xml:space="preserve">The Authority will hold its first meeting for the purposes of each of these investigations </w:t>
      </w:r>
      <w:r w:rsidR="004649BE">
        <w:rPr>
          <w:rFonts w:ascii="Times New Roman" w:hAnsi="Times New Roman"/>
        </w:rPr>
        <w:t xml:space="preserve">on </w:t>
      </w:r>
      <w:r w:rsidR="004649BE" w:rsidRPr="00D23BD2">
        <w:rPr>
          <w:rFonts w:ascii="Times New Roman" w:hAnsi="Times New Roman"/>
          <w:b/>
        </w:rPr>
        <w:t>29 </w:t>
      </w:r>
      <w:r w:rsidR="000317D5" w:rsidRPr="00D23BD2">
        <w:rPr>
          <w:rFonts w:ascii="Times New Roman" w:hAnsi="Times New Roman"/>
          <w:b/>
        </w:rPr>
        <w:t>September</w:t>
      </w:r>
      <w:r w:rsidR="004649BE" w:rsidRPr="00D23BD2">
        <w:rPr>
          <w:rFonts w:ascii="Times New Roman" w:hAnsi="Times New Roman"/>
          <w:b/>
        </w:rPr>
        <w:t> </w:t>
      </w:r>
      <w:r w:rsidR="000317D5" w:rsidRPr="00D23BD2">
        <w:rPr>
          <w:rFonts w:ascii="Times New Roman" w:hAnsi="Times New Roman"/>
          <w:b/>
        </w:rPr>
        <w:t>2015</w:t>
      </w:r>
      <w:r w:rsidRPr="008F4078">
        <w:rPr>
          <w:rFonts w:ascii="Times New Roman" w:hAnsi="Times New Roman"/>
        </w:rPr>
        <w:t>.</w:t>
      </w:r>
    </w:p>
    <w:p w:rsidR="008F4078" w:rsidRPr="008F4078" w:rsidRDefault="008F4078" w:rsidP="000C749A">
      <w:pPr>
        <w:keepLines/>
        <w:spacing w:before="120" w:line="240" w:lineRule="auto"/>
        <w:jc w:val="both"/>
        <w:rPr>
          <w:rFonts w:ascii="Times New Roman" w:hAnsi="Times New Roman"/>
          <w:i/>
        </w:rPr>
      </w:pPr>
      <w:r w:rsidRPr="008F4078">
        <w:rPr>
          <w:rFonts w:ascii="Times New Roman" w:hAnsi="Times New Roman"/>
        </w:rPr>
        <w:lastRenderedPageBreak/>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Persons and organisations wishing to make a submission should obtain a copy of the </w:t>
      </w:r>
      <w:r w:rsidRPr="008F4078">
        <w:rPr>
          <w:rFonts w:ascii="Times New Roman" w:hAnsi="Times New Roman"/>
          <w:i/>
        </w:rPr>
        <w:t>RMA Submission Guidelines</w:t>
      </w:r>
      <w:r w:rsidRPr="008F4078">
        <w:rPr>
          <w:rFonts w:ascii="Times New Roman" w:hAnsi="Times New Roman"/>
        </w:rPr>
        <w:t xml:space="preserve"> from the RMA website [</w:t>
      </w:r>
      <w:r w:rsidRPr="008F4078">
        <w:rPr>
          <w:rFonts w:ascii="Times New Roman" w:hAnsi="Times New Roman"/>
          <w:b/>
          <w:i/>
        </w:rPr>
        <w:t>www.rma.gov.au</w:t>
      </w:r>
      <w:r w:rsidRPr="008F4078">
        <w:rPr>
          <w:rFonts w:ascii="Times New Roman" w:hAnsi="Times New Roman"/>
        </w:rPr>
        <w:t>]</w:t>
      </w:r>
      <w:r w:rsidRPr="008F4078">
        <w:rPr>
          <w:rFonts w:ascii="Times New Roman" w:hAnsi="Times New Roman"/>
          <w:i/>
        </w:rPr>
        <w:t xml:space="preserve"> </w:t>
      </w:r>
      <w:r w:rsidRPr="008F4078">
        <w:rPr>
          <w:rFonts w:ascii="Times New Roman" w:hAnsi="Times New Roman"/>
        </w:rPr>
        <w:t>or by contacting the</w:t>
      </w:r>
      <w:r w:rsidRPr="008F4078">
        <w:rPr>
          <w:rFonts w:ascii="Times New Roman" w:hAnsi="Times New Roman"/>
          <w:i/>
        </w:rPr>
        <w:t xml:space="preserve"> </w:t>
      </w:r>
      <w:r w:rsidRPr="008F4078">
        <w:rPr>
          <w:rFonts w:ascii="Times New Roman" w:hAnsi="Times New Roman"/>
        </w:rPr>
        <w:t>RMA Secretariat at the address or telephone number below.</w:t>
      </w:r>
    </w:p>
    <w:p w:rsidR="008F4078" w:rsidRPr="008F4078" w:rsidRDefault="008F4078" w:rsidP="008F4078">
      <w:pPr>
        <w:spacing w:before="120" w:line="240" w:lineRule="auto"/>
        <w:jc w:val="both"/>
        <w:rPr>
          <w:rFonts w:ascii="Times New Roman" w:hAnsi="Times New Roman"/>
          <w:b/>
        </w:rPr>
      </w:pPr>
      <w:r w:rsidRPr="008F4078">
        <w:rPr>
          <w:rFonts w:ascii="Times New Roman" w:hAnsi="Times New Roman"/>
        </w:rPr>
        <w:t xml:space="preserve">All submissions must be in writing and received by the Authority at the address below no later than </w:t>
      </w:r>
      <w:r w:rsidR="000317D5" w:rsidRPr="000317D5">
        <w:rPr>
          <w:rFonts w:ascii="Times New Roman" w:hAnsi="Times New Roman"/>
          <w:b/>
        </w:rPr>
        <w:t>11</w:t>
      </w:r>
      <w:r w:rsidRPr="000317D5">
        <w:rPr>
          <w:rFonts w:ascii="Times New Roman" w:hAnsi="Times New Roman"/>
          <w:b/>
        </w:rPr>
        <w:t> </w:t>
      </w:r>
      <w:r w:rsidR="000317D5" w:rsidRPr="000317D5">
        <w:rPr>
          <w:rFonts w:ascii="Times New Roman" w:hAnsi="Times New Roman"/>
          <w:b/>
        </w:rPr>
        <w:t>S</w:t>
      </w:r>
      <w:r w:rsidR="000317D5">
        <w:rPr>
          <w:rFonts w:ascii="Times New Roman" w:hAnsi="Times New Roman"/>
          <w:b/>
        </w:rPr>
        <w:t>eptember </w:t>
      </w:r>
      <w:r w:rsidRPr="008F4078">
        <w:rPr>
          <w:rFonts w:ascii="Times New Roman" w:hAnsi="Times New Roman"/>
          <w:b/>
        </w:rPr>
        <w:t>201</w:t>
      </w:r>
      <w:r w:rsidR="000317D5">
        <w:rPr>
          <w:rFonts w:ascii="Times New Roman" w:hAnsi="Times New Roman"/>
          <w:b/>
        </w:rPr>
        <w:t>5</w:t>
      </w:r>
      <w:r w:rsidRPr="008F4078">
        <w:rPr>
          <w:rFonts w:ascii="Times New Roman" w:hAnsi="Times New Roman"/>
          <w:b/>
        </w:rPr>
        <w:t>.</w:t>
      </w:r>
    </w:p>
    <w:p w:rsidR="008F4078" w:rsidRPr="008F4078" w:rsidRDefault="008F4078" w:rsidP="008F4078">
      <w:pPr>
        <w:jc w:val="both"/>
        <w:rPr>
          <w:rFonts w:ascii="Times New Roman" w:hAnsi="Times New Roman"/>
        </w:rPr>
      </w:pPr>
    </w:p>
    <w:p w:rsidR="00667069" w:rsidRDefault="00667069" w:rsidP="00667069">
      <w:pPr>
        <w:spacing w:after="120" w:line="240" w:lineRule="auto"/>
        <w:rPr>
          <w:rFonts w:ascii="Times New Roman" w:hAnsi="Times New Roman"/>
        </w:rPr>
      </w:pPr>
      <w:r>
        <w:rPr>
          <w:rFonts w:ascii="Times New Roman" w:hAnsi="Times New Roman"/>
          <w:noProof/>
          <w:lang w:eastAsia="en-AU"/>
        </w:rPr>
        <w:drawing>
          <wp:anchor distT="0" distB="0" distL="114300" distR="114300" simplePos="0" relativeHeight="251659264" behindDoc="1" locked="0" layoutInCell="1" allowOverlap="1">
            <wp:simplePos x="0" y="0"/>
            <wp:positionH relativeFrom="column">
              <wp:posOffset>2770505</wp:posOffset>
            </wp:positionH>
            <wp:positionV relativeFrom="paragraph">
              <wp:posOffset>60325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rPr>
        <w:t>The Common Seal of the</w:t>
      </w:r>
      <w:r>
        <w:rPr>
          <w:rFonts w:ascii="Times New Roman" w:hAnsi="Times New Roman"/>
        </w:rPr>
        <w:tab/>
      </w:r>
      <w:r>
        <w:rPr>
          <w:rFonts w:ascii="Times New Roman" w:hAnsi="Times New Roman"/>
        </w:rPr>
        <w:tab/>
        <w:t>)</w:t>
      </w:r>
    </w:p>
    <w:p w:rsidR="00667069" w:rsidRDefault="00667069" w:rsidP="00667069">
      <w:pPr>
        <w:spacing w:after="120" w:line="240" w:lineRule="auto"/>
        <w:rPr>
          <w:rFonts w:ascii="Times New Roman" w:hAnsi="Times New Roman"/>
        </w:rPr>
      </w:pPr>
      <w:r>
        <w:rPr>
          <w:rFonts w:ascii="Times New Roman" w:hAnsi="Times New Roman"/>
        </w:rPr>
        <w:t>Repatriation Medical Authority</w:t>
      </w:r>
      <w:r>
        <w:rPr>
          <w:rFonts w:ascii="Times New Roman" w:hAnsi="Times New Roman"/>
        </w:rPr>
        <w:tab/>
      </w:r>
      <w:r>
        <w:rPr>
          <w:rFonts w:ascii="Times New Roman" w:hAnsi="Times New Roman"/>
        </w:rPr>
        <w:tab/>
        <w:t>)</w:t>
      </w:r>
    </w:p>
    <w:p w:rsidR="00667069" w:rsidRDefault="00667069" w:rsidP="00667069">
      <w:pPr>
        <w:spacing w:after="120" w:line="240" w:lineRule="auto"/>
        <w:rPr>
          <w:rFonts w:ascii="Times New Roman" w:hAnsi="Times New Roman"/>
        </w:rPr>
      </w:pPr>
      <w:r>
        <w:rPr>
          <w:rFonts w:ascii="Times New Roman" w:hAnsi="Times New Roman"/>
        </w:rPr>
        <w:t>was affixed at the direction of:</w:t>
      </w:r>
      <w:r>
        <w:rPr>
          <w:rFonts w:ascii="Times New Roman" w:hAnsi="Times New Roman"/>
        </w:rPr>
        <w:tab/>
      </w:r>
      <w:r>
        <w:rPr>
          <w:rFonts w:ascii="Times New Roman" w:hAnsi="Times New Roman"/>
        </w:rPr>
        <w:tab/>
        <w:t>)</w:t>
      </w:r>
    </w:p>
    <w:p w:rsidR="00667069" w:rsidRDefault="00667069" w:rsidP="00667069">
      <w:pPr>
        <w:spacing w:after="120" w:line="240" w:lineRule="auto"/>
        <w:ind w:left="4320"/>
        <w:rPr>
          <w:rFonts w:ascii="Times New Roman" w:hAnsi="Times New Roman"/>
        </w:rPr>
      </w:pPr>
      <w:r>
        <w:rPr>
          <w:rFonts w:ascii="Times New Roman" w:hAnsi="Times New Roman"/>
        </w:rPr>
        <w:t>PROFESSOR NICHOLAS SAUNDERS AO</w:t>
      </w:r>
    </w:p>
    <w:p w:rsidR="00667069" w:rsidRDefault="00667069" w:rsidP="00667069">
      <w:pPr>
        <w:spacing w:after="120" w:line="240" w:lineRule="auto"/>
        <w:ind w:left="4320"/>
        <w:rPr>
          <w:rFonts w:ascii="Times New Roman" w:hAnsi="Times New Roman"/>
        </w:rPr>
      </w:pPr>
      <w:r>
        <w:rPr>
          <w:rFonts w:ascii="Times New Roman" w:hAnsi="Times New Roman"/>
        </w:rPr>
        <w:t>CHAIRPERSON</w:t>
      </w:r>
      <w:r>
        <w:rPr>
          <w:rFonts w:ascii="Times New Roman" w:hAnsi="Times New Roman"/>
        </w:rPr>
        <w:tab/>
      </w:r>
      <w:r>
        <w:rPr>
          <w:rFonts w:ascii="Times New Roman" w:hAnsi="Times New Roman"/>
        </w:rPr>
        <w:tab/>
        <w:t>01 / 05 / 2015</w:t>
      </w:r>
    </w:p>
    <w:p w:rsidR="008F4078" w:rsidRDefault="008F4078" w:rsidP="00667069">
      <w:pPr>
        <w:spacing w:after="120" w:line="240" w:lineRule="auto"/>
        <w:rPr>
          <w:rFonts w:ascii="Times New Roman" w:hAnsi="Times New Roman"/>
        </w:rPr>
      </w:pPr>
    </w:p>
    <w:sectPr w:rsidR="008F407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9A" w:rsidRDefault="000C749A">
      <w:pPr>
        <w:spacing w:after="0" w:line="240" w:lineRule="auto"/>
      </w:pPr>
      <w:r>
        <w:separator/>
      </w:r>
    </w:p>
  </w:endnote>
  <w:endnote w:type="continuationSeparator" w:id="0">
    <w:p w:rsidR="000C749A" w:rsidRDefault="000C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9A" w:rsidRDefault="000C7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9A" w:rsidRDefault="000C7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9A" w:rsidRDefault="000C749A">
    <w:pPr>
      <w:spacing w:after="60" w:line="240" w:lineRule="auto"/>
      <w:jc w:val="center"/>
      <w:rPr>
        <w:rFonts w:ascii="Times New Roman" w:hAnsi="Times New Roman"/>
        <w:b/>
        <w:i/>
        <w:sz w:val="20"/>
        <w:szCs w:val="20"/>
      </w:rPr>
    </w:pPr>
    <w:r>
      <w:rPr>
        <w:rFonts w:ascii="Times New Roman" w:hAnsi="Times New Roman"/>
        <w:b/>
        <w:i/>
        <w:sz w:val="20"/>
        <w:szCs w:val="20"/>
      </w:rPr>
      <w:t>The Repatriation Medical Authority</w:t>
    </w:r>
  </w:p>
  <w:p w:rsidR="000C749A" w:rsidRDefault="000C749A">
    <w:pPr>
      <w:spacing w:after="60" w:line="240" w:lineRule="auto"/>
      <w:jc w:val="center"/>
      <w:rPr>
        <w:rFonts w:ascii="Times New Roman" w:hAnsi="Times New Roman"/>
        <w:b/>
        <w:i/>
        <w:sz w:val="20"/>
        <w:szCs w:val="20"/>
      </w:rPr>
    </w:pPr>
    <w:r>
      <w:rPr>
        <w:rFonts w:ascii="Times New Roman" w:hAnsi="Times New Roman"/>
        <w:b/>
        <w:i/>
        <w:sz w:val="20"/>
        <w:szCs w:val="20"/>
      </w:rPr>
      <w:t>8</w:t>
    </w:r>
    <w:r>
      <w:rPr>
        <w:rFonts w:ascii="Times New Roman" w:hAnsi="Times New Roman"/>
        <w:b/>
        <w:i/>
        <w:sz w:val="20"/>
        <w:szCs w:val="20"/>
        <w:vertAlign w:val="superscript"/>
      </w:rPr>
      <w:t>th</w:t>
    </w:r>
    <w:r>
      <w:rPr>
        <w:rFonts w:ascii="Times New Roman" w:hAnsi="Times New Roman"/>
        <w:b/>
        <w:i/>
        <w:sz w:val="20"/>
        <w:szCs w:val="20"/>
      </w:rPr>
      <w:t xml:space="preserve"> Floor, </w:t>
    </w:r>
    <w:smartTag w:uri="urn:schemas-microsoft-com:office:smarttags" w:element="address">
      <w:smartTag w:uri="urn:schemas-microsoft-com:office:smarttags" w:element="Street">
        <w:r>
          <w:rPr>
            <w:rFonts w:ascii="Times New Roman" w:hAnsi="Times New Roman"/>
            <w:b/>
            <w:i/>
            <w:sz w:val="20"/>
            <w:szCs w:val="20"/>
          </w:rPr>
          <w:t>259 Queen Street</w:t>
        </w:r>
      </w:smartTag>
      <w:r>
        <w:rPr>
          <w:rFonts w:ascii="Times New Roman" w:hAnsi="Times New Roman"/>
          <w:b/>
          <w:i/>
          <w:sz w:val="20"/>
          <w:szCs w:val="20"/>
        </w:rPr>
        <w:t xml:space="preserve">, </w:t>
      </w:r>
      <w:smartTag w:uri="urn:schemas-microsoft-com:office:smarttags" w:element="City">
        <w:r>
          <w:rPr>
            <w:rFonts w:ascii="Times New Roman" w:hAnsi="Times New Roman"/>
            <w:b/>
            <w:i/>
            <w:sz w:val="20"/>
            <w:szCs w:val="20"/>
          </w:rPr>
          <w:t>BRISBANE</w:t>
        </w:r>
      </w:smartTag>
    </w:smartTag>
    <w:r>
      <w:rPr>
        <w:rFonts w:ascii="Times New Roman" w:hAnsi="Times New Roman"/>
        <w:b/>
        <w:i/>
        <w:sz w:val="20"/>
        <w:szCs w:val="20"/>
      </w:rPr>
      <w:t>,  QLD  4000</w:t>
    </w:r>
  </w:p>
  <w:p w:rsidR="000C749A" w:rsidRDefault="000C749A">
    <w:pPr>
      <w:spacing w:after="60" w:line="240" w:lineRule="auto"/>
      <w:jc w:val="center"/>
      <w:rPr>
        <w:rFonts w:ascii="Times New Roman" w:hAnsi="Times New Roman"/>
        <w:b/>
        <w:i/>
        <w:sz w:val="20"/>
        <w:szCs w:val="20"/>
      </w:rPr>
    </w:pPr>
    <w:r>
      <w:rPr>
        <w:rFonts w:ascii="Times New Roman" w:hAnsi="Times New Roman"/>
        <w:b/>
        <w:i/>
        <w:sz w:val="20"/>
        <w:szCs w:val="20"/>
      </w:rPr>
      <w:t>[GPO Box 1014, Brisbane, Qld 4001] – Telephone: (07) 3815 9404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9A" w:rsidRDefault="000C749A">
      <w:pPr>
        <w:spacing w:after="0" w:line="240" w:lineRule="auto"/>
      </w:pPr>
      <w:r>
        <w:separator/>
      </w:r>
    </w:p>
  </w:footnote>
  <w:footnote w:type="continuationSeparator" w:id="0">
    <w:p w:rsidR="000C749A" w:rsidRDefault="000C7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9A" w:rsidRDefault="000C7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9A" w:rsidRDefault="000C7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0C749A">
      <w:trPr>
        <w:trHeight w:val="984"/>
      </w:trPr>
      <w:tc>
        <w:tcPr>
          <w:tcW w:w="1263" w:type="dxa"/>
          <w:tcBorders>
            <w:top w:val="single" w:sz="4" w:space="0" w:color="auto"/>
            <w:left w:val="nil"/>
            <w:bottom w:val="single" w:sz="4" w:space="0" w:color="auto"/>
            <w:right w:val="nil"/>
          </w:tcBorders>
        </w:tcPr>
        <w:p w:rsidR="000C749A" w:rsidRDefault="000C749A">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6762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C749A" w:rsidRDefault="000C749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place">
            <w:smartTag w:uri="urn:schemas-microsoft-com:office:smarttags" w:element="country-region">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C749A" w:rsidRDefault="000C749A">
          <w:pPr>
            <w:spacing w:before="180" w:after="0" w:line="800" w:lineRule="exact"/>
            <w:jc w:val="right"/>
            <w:rPr>
              <w:rFonts w:ascii="Arial" w:hAnsi="Arial" w:cs="Arial"/>
              <w:b/>
              <w:sz w:val="100"/>
              <w:szCs w:val="100"/>
            </w:rPr>
          </w:pPr>
          <w:r>
            <w:rPr>
              <w:rFonts w:ascii="Arial" w:hAnsi="Arial" w:cs="Arial"/>
              <w:b/>
              <w:sz w:val="100"/>
              <w:szCs w:val="100"/>
            </w:rPr>
            <w:t>Gazette</w:t>
          </w:r>
        </w:p>
      </w:tc>
    </w:tr>
    <w:tr w:rsidR="000C749A">
      <w:trPr>
        <w:trHeight w:val="340"/>
      </w:trPr>
      <w:tc>
        <w:tcPr>
          <w:tcW w:w="5698" w:type="dxa"/>
          <w:gridSpan w:val="2"/>
          <w:tcBorders>
            <w:top w:val="single" w:sz="4" w:space="0" w:color="auto"/>
            <w:left w:val="nil"/>
            <w:bottom w:val="single" w:sz="4" w:space="0" w:color="auto"/>
            <w:right w:val="nil"/>
          </w:tcBorders>
          <w:vAlign w:val="bottom"/>
        </w:tcPr>
        <w:p w:rsidR="000C749A" w:rsidRDefault="000C749A">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C749A" w:rsidRDefault="000C749A">
          <w:pPr>
            <w:spacing w:after="0"/>
            <w:jc w:val="right"/>
            <w:rPr>
              <w:rFonts w:ascii="Arial" w:hAnsi="Arial" w:cs="Arial"/>
              <w:b/>
              <w:sz w:val="24"/>
              <w:szCs w:val="24"/>
            </w:rPr>
          </w:pPr>
          <w:r>
            <w:rPr>
              <w:rFonts w:ascii="Arial" w:hAnsi="Arial" w:cs="Arial"/>
              <w:b/>
              <w:sz w:val="24"/>
              <w:szCs w:val="24"/>
            </w:rPr>
            <w:t>GOVERNMENT NOTICES</w:t>
          </w:r>
        </w:p>
      </w:tc>
    </w:tr>
    <w:bookmarkEnd w:id="3"/>
  </w:tbl>
  <w:p w:rsidR="000C749A" w:rsidRDefault="000C749A">
    <w:pPr>
      <w:pStyle w:val="Header"/>
      <w:rPr>
        <w:sz w:val="2"/>
        <w:szCs w:val="2"/>
      </w:rPr>
    </w:pPr>
  </w:p>
  <w:p w:rsidR="000C749A" w:rsidRDefault="000C749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78"/>
    <w:rsid w:val="000317D5"/>
    <w:rsid w:val="000C749A"/>
    <w:rsid w:val="004649BE"/>
    <w:rsid w:val="004C428D"/>
    <w:rsid w:val="00667069"/>
    <w:rsid w:val="008F4078"/>
    <w:rsid w:val="009341B9"/>
    <w:rsid w:val="009A0F87"/>
    <w:rsid w:val="00D23BD2"/>
    <w:rsid w:val="00EC319D"/>
    <w:rsid w:val="00EF0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basedOn w:val="DefaultParagraphFont"/>
    <w:link w:val="Header"/>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pPr>
      <w:tabs>
        <w:tab w:val="center" w:pos="4513"/>
        <w:tab w:val="right" w:pos="9026"/>
      </w:tabs>
      <w:spacing w:after="0" w:line="240" w:lineRule="auto"/>
    </w:pPr>
  </w:style>
  <w:style w:type="character" w:customStyle="1" w:styleId="HeaderChar">
    <w:name w:val="Header Char"/>
    <w:basedOn w:val="DefaultParagraphFont"/>
    <w:link w:val="Header"/>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2527</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2015-04-28T05:44:00Z</dcterms:created>
  <dcterms:modified xsi:type="dcterms:W3CDTF">2015-04-28T05:44:00Z</dcterms:modified>
</cp:coreProperties>
</file>